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1E90A" w14:textId="4AAD9FC2" w:rsidR="004C31D4" w:rsidRPr="004C31D4" w:rsidRDefault="004C31D4" w:rsidP="004C31D4">
      <w:pPr>
        <w:pStyle w:val="berschrift1"/>
        <w:numPr>
          <w:ilvl w:val="0"/>
          <w:numId w:val="0"/>
        </w:numPr>
        <w:ind w:left="851" w:hanging="851"/>
      </w:pPr>
      <w:r>
        <w:t xml:space="preserve">Transfer Impact Assessment </w:t>
      </w:r>
      <w:r w:rsidRPr="004C31D4">
        <w:t>für die USA (Schweizer Version)</w:t>
      </w:r>
    </w:p>
    <w:p w14:paraId="1075FE07" w14:textId="77777777" w:rsidR="004C31D4" w:rsidRPr="004C31D4" w:rsidRDefault="004C31D4" w:rsidP="004C31D4">
      <w:pPr>
        <w:pStyle w:val="Normal0"/>
        <w:spacing w:line="240" w:lineRule="auto"/>
        <w:rPr>
          <w:sz w:val="16"/>
          <w:szCs w:val="16"/>
        </w:rPr>
      </w:pPr>
    </w:p>
    <w:p w14:paraId="199EFA68" w14:textId="364721E5" w:rsidR="004C31D4" w:rsidRPr="004C31D4" w:rsidRDefault="004C31D4" w:rsidP="004C31D4">
      <w:pPr>
        <w:pStyle w:val="Normal0"/>
      </w:pPr>
      <w:r>
        <w:t>Von</w:t>
      </w:r>
      <w:r w:rsidRPr="004C31D4">
        <w:t xml:space="preserve">: </w:t>
      </w:r>
      <w:r w:rsidRPr="004C31D4">
        <w:tab/>
      </w:r>
      <w:r>
        <w:tab/>
      </w:r>
      <w:r w:rsidRPr="004C31D4">
        <w:t>[</w:t>
      </w:r>
      <w:r w:rsidRPr="004C31D4">
        <w:rPr>
          <w:highlight w:val="yellow"/>
        </w:rPr>
        <w:t>Name der Organisation</w:t>
      </w:r>
      <w:r w:rsidRPr="004C31D4">
        <w:t xml:space="preserve">] (der </w:t>
      </w:r>
      <w:r w:rsidRPr="004C31D4">
        <w:rPr>
          <w:b/>
        </w:rPr>
        <w:t>Exporteur</w:t>
      </w:r>
      <w:r w:rsidRPr="004C31D4">
        <w:t>)</w:t>
      </w:r>
    </w:p>
    <w:p w14:paraId="02F9338A" w14:textId="77777777" w:rsidR="004C31D4" w:rsidRPr="004C31D4" w:rsidRDefault="004C31D4" w:rsidP="004C31D4">
      <w:pPr>
        <w:pStyle w:val="Normal0"/>
      </w:pPr>
      <w:r w:rsidRPr="004C31D4">
        <w:t>Datum:</w:t>
      </w:r>
      <w:r w:rsidRPr="004C31D4">
        <w:tab/>
      </w:r>
      <w:r w:rsidRPr="004C31D4">
        <w:tab/>
        <w:t>[</w:t>
      </w:r>
      <w:r w:rsidRPr="004C31D4">
        <w:rPr>
          <w:highlight w:val="yellow"/>
        </w:rPr>
        <w:t>Datum</w:t>
      </w:r>
      <w:r w:rsidRPr="004C31D4">
        <w:t>]</w:t>
      </w:r>
    </w:p>
    <w:p w14:paraId="2D3ADAC0" w14:textId="77777777" w:rsidR="004C31D4" w:rsidRPr="004C31D4" w:rsidRDefault="004C31D4" w:rsidP="004C31D4">
      <w:pPr>
        <w:pStyle w:val="Normal0"/>
        <w:spacing w:line="240" w:lineRule="auto"/>
        <w:rPr>
          <w:sz w:val="16"/>
          <w:szCs w:val="16"/>
        </w:rPr>
      </w:pPr>
    </w:p>
    <w:p w14:paraId="45E6B245" w14:textId="4E16B260" w:rsidR="004C31D4" w:rsidRPr="004C31D4" w:rsidRDefault="004C31D4" w:rsidP="004C31D4">
      <w:pPr>
        <w:pStyle w:val="Normal0"/>
      </w:pPr>
      <w:r>
        <w:t>In Erwägung</w:t>
      </w:r>
      <w:r w:rsidRPr="004C31D4">
        <w:t>:</w:t>
      </w:r>
    </w:p>
    <w:p w14:paraId="3E51EC97" w14:textId="218DA996" w:rsidR="004C31D4" w:rsidRPr="004C31D4" w:rsidRDefault="004C31D4" w:rsidP="004C31D4">
      <w:pPr>
        <w:pStyle w:val="Randziffern"/>
        <w:numPr>
          <w:ilvl w:val="0"/>
          <w:numId w:val="35"/>
        </w:numPr>
        <w:tabs>
          <w:tab w:val="clear" w:pos="851"/>
        </w:tabs>
      </w:pPr>
      <w:r w:rsidRPr="004C31D4">
        <w:t>Dass ein dem schweizerischen Datenschutzgesetz (</w:t>
      </w:r>
      <w:r w:rsidRPr="004C31D4">
        <w:rPr>
          <w:b/>
        </w:rPr>
        <w:t>DSG</w:t>
      </w:r>
      <w:r w:rsidRPr="004C31D4">
        <w:t>) unterstellter Verantwortlicher oder Auftragsverarbeiter, der Personendaten an einen Importeur in einem Drittstaat (</w:t>
      </w:r>
      <w:r w:rsidRPr="004C31D4">
        <w:rPr>
          <w:b/>
        </w:rPr>
        <w:t>Importeur</w:t>
      </w:r>
      <w:r w:rsidRPr="004C31D4">
        <w:t xml:space="preserve">) </w:t>
      </w:r>
      <w:r>
        <w:t>bekanntgibt</w:t>
      </w:r>
      <w:r w:rsidRPr="004C31D4">
        <w:t xml:space="preserve">, für </w:t>
      </w:r>
      <w:r w:rsidR="00C63F50">
        <w:t xml:space="preserve">den </w:t>
      </w:r>
      <w:r w:rsidRPr="004C31D4">
        <w:t xml:space="preserve">kein </w:t>
      </w:r>
      <w:r>
        <w:t>Angemessenheitsbeschluss</w:t>
      </w:r>
      <w:r w:rsidRPr="004C31D4">
        <w:t xml:space="preserve"> nach Art. 16 Abs. 1 DSG </w:t>
      </w:r>
      <w:r>
        <w:t>besteht</w:t>
      </w:r>
      <w:r w:rsidRPr="004C31D4">
        <w:t xml:space="preserve">, </w:t>
      </w:r>
      <w:r>
        <w:t xml:space="preserve">grundsätzlich </w:t>
      </w:r>
      <w:r w:rsidRPr="004C31D4">
        <w:t xml:space="preserve">angemessene Garantien </w:t>
      </w:r>
      <w:r>
        <w:t xml:space="preserve">nach </w:t>
      </w:r>
      <w:r w:rsidRPr="004C31D4">
        <w:t>Art. 16</w:t>
      </w:r>
      <w:r>
        <w:t xml:space="preserve"> Abs. 2</w:t>
      </w:r>
      <w:r w:rsidRPr="004C31D4">
        <w:t xml:space="preserve"> DSG</w:t>
      </w:r>
      <w:r>
        <w:t xml:space="preserve"> </w:t>
      </w:r>
      <w:r w:rsidR="00C63F50">
        <w:t>braucht</w:t>
      </w:r>
      <w:r w:rsidRPr="004C31D4">
        <w:t>;</w:t>
      </w:r>
    </w:p>
    <w:p w14:paraId="67EE296E" w14:textId="393EE181" w:rsidR="004C31D4" w:rsidRPr="004C31D4" w:rsidRDefault="004C31D4" w:rsidP="004C31D4">
      <w:pPr>
        <w:pStyle w:val="Randziffern"/>
        <w:numPr>
          <w:ilvl w:val="0"/>
          <w:numId w:val="35"/>
        </w:numPr>
        <w:tabs>
          <w:tab w:val="clear" w:pos="851"/>
        </w:tabs>
      </w:pPr>
      <w:r>
        <w:t xml:space="preserve">Dass die </w:t>
      </w:r>
      <w:r w:rsidRPr="004C31D4">
        <w:t>Vereinigten Staaten von Amerika (</w:t>
      </w:r>
      <w:r w:rsidRPr="004C31D4">
        <w:rPr>
          <w:b/>
        </w:rPr>
        <w:t>USA</w:t>
      </w:r>
      <w:r w:rsidRPr="004C31D4">
        <w:t>) ein solches Land für Importeure</w:t>
      </w:r>
      <w:r>
        <w:t xml:space="preserve"> sind</w:t>
      </w:r>
      <w:r w:rsidRPr="004C31D4">
        <w:t>, die nicht unter das Swiss-US Data Privacy Framework (</w:t>
      </w:r>
      <w:r w:rsidRPr="004C31D4">
        <w:rPr>
          <w:b/>
        </w:rPr>
        <w:t>Swiss-US DPF</w:t>
      </w:r>
      <w:r w:rsidRPr="004C31D4">
        <w:t>) fallen;</w:t>
      </w:r>
    </w:p>
    <w:p w14:paraId="36B8533A" w14:textId="7299E2F8" w:rsidR="004C31D4" w:rsidRPr="004C31D4" w:rsidRDefault="004C31D4" w:rsidP="004C31D4">
      <w:pPr>
        <w:pStyle w:val="Randziffern"/>
        <w:numPr>
          <w:ilvl w:val="0"/>
          <w:numId w:val="35"/>
        </w:numPr>
        <w:tabs>
          <w:tab w:val="left" w:pos="851"/>
        </w:tabs>
      </w:pPr>
      <w:r w:rsidRPr="004C31D4">
        <w:t xml:space="preserve">Dass die von der Europäischen Kommission am 4. Juni 2021 genehmigten Standardvertragsklauseln </w:t>
      </w:r>
      <w:r w:rsidR="00C63F50">
        <w:t xml:space="preserve">für Datentransfers </w:t>
      </w:r>
      <w:r w:rsidRPr="004C31D4">
        <w:t>(</w:t>
      </w:r>
      <w:r w:rsidRPr="004C31D4">
        <w:rPr>
          <w:b/>
        </w:rPr>
        <w:t>SCC</w:t>
      </w:r>
      <w:r w:rsidRPr="004C31D4">
        <w:t xml:space="preserve">) </w:t>
      </w:r>
      <w:r>
        <w:t xml:space="preserve">ergänzt mit </w:t>
      </w:r>
      <w:r w:rsidRPr="004C31D4">
        <w:t xml:space="preserve">bestimmten </w:t>
      </w:r>
      <w:r>
        <w:t xml:space="preserve">Anpassungen </w:t>
      </w:r>
      <w:r w:rsidRPr="004C31D4">
        <w:t xml:space="preserve">für das schweizerische Recht solche Garantien </w:t>
      </w:r>
      <w:r>
        <w:t>bieten</w:t>
      </w:r>
      <w:r w:rsidRPr="004C31D4">
        <w:t>, sofern der Exporteur und der Importeur keinen Grund zu der Annahme haben, dass die Gesetze und Praktiken in dem Drittland den Importeur daran hindern, seine Verpflichtungen aus den SCC zu erfüllen (</w:t>
      </w:r>
      <w:r w:rsidRPr="004C31D4">
        <w:rPr>
          <w:b/>
        </w:rPr>
        <w:t>problematische Gesetze</w:t>
      </w:r>
      <w:r w:rsidRPr="004C31D4">
        <w:t xml:space="preserve">), </w:t>
      </w:r>
      <w:r>
        <w:t xml:space="preserve">wobei </w:t>
      </w:r>
      <w:r w:rsidRPr="004C31D4">
        <w:t>Gesetze und Praktiken, die den Kern der Grundrechte und -freiheiten respektieren und nicht über das hinausgehen, was in einer demokratischen Gesellschaft notwendig und verhältnismä</w:t>
      </w:r>
      <w:r>
        <w:t>ss</w:t>
      </w:r>
      <w:r w:rsidRPr="004C31D4">
        <w:t xml:space="preserve">ig ist, um eines der in Art. 23(1) </w:t>
      </w:r>
      <w:r w:rsidR="00C63F50">
        <w:t xml:space="preserve">EU </w:t>
      </w:r>
      <w:r w:rsidRPr="004C31D4">
        <w:t>Datenschutz-Grundverordnung aufgeführten Ziele zu schützen, keine problematischen Gesetze sind (Art. 14 SCC);</w:t>
      </w:r>
      <w:r w:rsidR="00A25F1B">
        <w:t xml:space="preserve"> </w:t>
      </w:r>
    </w:p>
    <w:p w14:paraId="585DB1FC" w14:textId="7649156B" w:rsidR="004C31D4" w:rsidRPr="004C31D4" w:rsidRDefault="004C31D4" w:rsidP="004C31D4">
      <w:pPr>
        <w:pStyle w:val="Randziffern"/>
        <w:numPr>
          <w:ilvl w:val="0"/>
          <w:numId w:val="35"/>
        </w:numPr>
        <w:tabs>
          <w:tab w:val="left" w:pos="851"/>
        </w:tabs>
      </w:pPr>
      <w:r>
        <w:t>D</w:t>
      </w:r>
      <w:r w:rsidRPr="004C31D4">
        <w:t xml:space="preserve">ass der Exporteur erwägt, personenbezogene Daten in die USA </w:t>
      </w:r>
      <w:r>
        <w:t>bekanntzugeben</w:t>
      </w:r>
      <w:r w:rsidRPr="004C31D4">
        <w:t>, indem er die SCC als</w:t>
      </w:r>
      <w:r>
        <w:t xml:space="preserve"> Garantie </w:t>
      </w:r>
      <w:r w:rsidRPr="004C31D4">
        <w:t>gemä</w:t>
      </w:r>
      <w:r>
        <w:t>ss</w:t>
      </w:r>
      <w:r w:rsidRPr="004C31D4">
        <w:t xml:space="preserve"> Art. 1</w:t>
      </w:r>
      <w:r w:rsidR="00FC2CCC">
        <w:t>6</w:t>
      </w:r>
      <w:r>
        <w:t xml:space="preserve"> Abs. 1 Bst. d DSG </w:t>
      </w:r>
      <w:r w:rsidR="00C63F50">
        <w:t>hierfür einsetzt</w:t>
      </w:r>
      <w:r w:rsidRPr="004C31D4">
        <w:t>;</w:t>
      </w:r>
    </w:p>
    <w:p w14:paraId="1D81E931" w14:textId="04C8FA0A" w:rsidR="004C31D4" w:rsidRPr="004C31D4" w:rsidRDefault="004C31D4" w:rsidP="004C31D4">
      <w:pPr>
        <w:pStyle w:val="Randziffern"/>
        <w:numPr>
          <w:ilvl w:val="0"/>
          <w:numId w:val="35"/>
        </w:numPr>
        <w:tabs>
          <w:tab w:val="left" w:pos="851"/>
        </w:tabs>
      </w:pPr>
      <w:r>
        <w:t>D</w:t>
      </w:r>
      <w:r w:rsidRPr="004C31D4">
        <w:t xml:space="preserve">ass der Exporteur die US-Gesetze und -Praktiken überprüft hat, </w:t>
      </w:r>
      <w:r>
        <w:t xml:space="preserve">in deren Rahmen US-Behörden </w:t>
      </w:r>
      <w:r w:rsidRPr="004C31D4">
        <w:t>Zugang zu</w:t>
      </w:r>
      <w:r w:rsidR="007A5008">
        <w:t xml:space="preserve"> in die USA</w:t>
      </w:r>
      <w:r w:rsidRPr="004C31D4">
        <w:t xml:space="preserve"> </w:t>
      </w:r>
      <w:r w:rsidR="00A25F1B">
        <w:t xml:space="preserve">übermittelten </w:t>
      </w:r>
      <w:r>
        <w:t>Personendaten erlangen und diese nutzen könn</w:t>
      </w:r>
      <w:r w:rsidR="00A25F1B">
        <w:t>t</w:t>
      </w:r>
      <w:r>
        <w:t xml:space="preserve">en, </w:t>
      </w:r>
      <w:r w:rsidRPr="004C31D4">
        <w:t xml:space="preserve">wie </w:t>
      </w:r>
      <w:r w:rsidR="00A25F1B">
        <w:t xml:space="preserve">dies </w:t>
      </w:r>
      <w:r w:rsidRPr="004C31D4">
        <w:t xml:space="preserve">in der </w:t>
      </w:r>
      <w:r>
        <w:t xml:space="preserve">Beurteilung des </w:t>
      </w:r>
      <w:r w:rsidRPr="004C31D4">
        <w:t xml:space="preserve">Bundesamtes für Justiz vom 30. April 2024 und den darin </w:t>
      </w:r>
      <w:r w:rsidR="00A25F1B">
        <w:t xml:space="preserve">erwähnten </w:t>
      </w:r>
      <w:r w:rsidRPr="004C31D4">
        <w:t xml:space="preserve">Materialien </w:t>
      </w:r>
      <w:r>
        <w:t>dargelegt wird</w:t>
      </w:r>
      <w:r w:rsidRPr="004C31D4">
        <w:t>;</w:t>
      </w:r>
    </w:p>
    <w:p w14:paraId="33A63505" w14:textId="3855F8FF" w:rsidR="00A25F1B" w:rsidRDefault="004C31D4" w:rsidP="004C31D4">
      <w:pPr>
        <w:pStyle w:val="Randziffern"/>
        <w:numPr>
          <w:ilvl w:val="0"/>
          <w:numId w:val="35"/>
        </w:numPr>
        <w:tabs>
          <w:tab w:val="left" w:pos="851"/>
        </w:tabs>
      </w:pPr>
      <w:r w:rsidRPr="004C31D4">
        <w:t xml:space="preserve">Dass das Bundesamt für Justiz und </w:t>
      </w:r>
      <w:r w:rsidR="007A5008">
        <w:t xml:space="preserve">in der Folge am 14. August 2024 </w:t>
      </w:r>
      <w:r w:rsidRPr="004C31D4">
        <w:t xml:space="preserve">der </w:t>
      </w:r>
      <w:r w:rsidR="00A25F1B">
        <w:t xml:space="preserve">Schweizer </w:t>
      </w:r>
      <w:r w:rsidRPr="004C31D4">
        <w:t xml:space="preserve">Bundesrat </w:t>
      </w:r>
      <w:r w:rsidR="007A5008">
        <w:t>mit seinem Angemessenheitsbeschluss</w:t>
      </w:r>
      <w:r w:rsidR="006433AF">
        <w:t xml:space="preserve"> (mit Wirkung per 15. September 2024)</w:t>
      </w:r>
      <w:r w:rsidR="007A5008">
        <w:t xml:space="preserve"> </w:t>
      </w:r>
      <w:r w:rsidRPr="004C31D4">
        <w:t xml:space="preserve">aufgrund </w:t>
      </w:r>
      <w:r w:rsidR="00A25F1B">
        <w:t xml:space="preserve">dieser </w:t>
      </w:r>
      <w:r w:rsidRPr="004C31D4">
        <w:t xml:space="preserve">Prüfung zum Schluss gekommen sind, dass die </w:t>
      </w:r>
      <w:r w:rsidR="00A25F1B">
        <w:t xml:space="preserve">Vorgaben von </w:t>
      </w:r>
      <w:r w:rsidRPr="004C31D4">
        <w:t xml:space="preserve">Art. 8 Abs. 2 </w:t>
      </w:r>
      <w:r w:rsidR="00A25F1B">
        <w:t xml:space="preserve">Datenschutzverordnung </w:t>
      </w:r>
      <w:r w:rsidR="007A5008">
        <w:t>(</w:t>
      </w:r>
      <w:r w:rsidR="007A5008" w:rsidRPr="007A5008">
        <w:rPr>
          <w:b/>
        </w:rPr>
        <w:t>DSV</w:t>
      </w:r>
      <w:r w:rsidR="007A5008">
        <w:t xml:space="preserve">) </w:t>
      </w:r>
      <w:r w:rsidRPr="004C31D4">
        <w:t xml:space="preserve">erfüllt sind, </w:t>
      </w:r>
      <w:r>
        <w:t>und zwar</w:t>
      </w:r>
      <w:r w:rsidR="00A25F1B">
        <w:t xml:space="preserve"> auch</w:t>
      </w:r>
      <w:r>
        <w:t xml:space="preserve"> </w:t>
      </w:r>
      <w:r w:rsidR="00C63F50">
        <w:t xml:space="preserve">betreffend </w:t>
      </w:r>
      <w:r>
        <w:t>behördliche</w:t>
      </w:r>
      <w:r w:rsidR="00A25F1B">
        <w:t>n</w:t>
      </w:r>
      <w:r>
        <w:t xml:space="preserve"> </w:t>
      </w:r>
      <w:r w:rsidR="00A25F1B">
        <w:t>Datenz</w:t>
      </w:r>
      <w:r>
        <w:t>ugriffe</w:t>
      </w:r>
      <w:r w:rsidR="00A25F1B">
        <w:t>n</w:t>
      </w:r>
      <w:r>
        <w:t xml:space="preserve">, die </w:t>
      </w:r>
      <w:r w:rsidR="00C63F50">
        <w:t xml:space="preserve">trotz und </w:t>
      </w:r>
      <w:r>
        <w:t xml:space="preserve">unabhängig vom Swiss-US DPF erfolgen können </w:t>
      </w:r>
      <w:r w:rsidRPr="004C31D4">
        <w:t>(</w:t>
      </w:r>
      <w:r w:rsidR="007A5008">
        <w:t>selbst</w:t>
      </w:r>
      <w:r w:rsidR="00A25F1B">
        <w:t xml:space="preserve"> </w:t>
      </w:r>
      <w:r w:rsidRPr="004C31D4">
        <w:t xml:space="preserve">zu Zwecken der Strafverfolgung und der nationalen Sicherheit), insbesondere </w:t>
      </w:r>
      <w:r w:rsidR="00A25F1B">
        <w:t>auch aufgrund der Implementie</w:t>
      </w:r>
      <w:r w:rsidR="00A25F1B">
        <w:lastRenderedPageBreak/>
        <w:t xml:space="preserve">rung </w:t>
      </w:r>
      <w:r>
        <w:t xml:space="preserve">des </w:t>
      </w:r>
      <w:r w:rsidRPr="004C31D4">
        <w:t xml:space="preserve">EO 14086 und der Einstufung der Schweiz als </w:t>
      </w:r>
      <w:r>
        <w:t>"</w:t>
      </w:r>
      <w:proofErr w:type="spellStart"/>
      <w:r>
        <w:t>qualifying</w:t>
      </w:r>
      <w:proofErr w:type="spellEnd"/>
      <w:r>
        <w:t xml:space="preserve"> </w:t>
      </w:r>
      <w:proofErr w:type="spellStart"/>
      <w:r>
        <w:t>state</w:t>
      </w:r>
      <w:proofErr w:type="spellEnd"/>
      <w:r>
        <w:t>"</w:t>
      </w:r>
      <w:r w:rsidR="00A25F1B">
        <w:t>;</w:t>
      </w:r>
    </w:p>
    <w:p w14:paraId="36F01407" w14:textId="7AA30475" w:rsidR="007A5008" w:rsidRDefault="007A5008" w:rsidP="004C31D4">
      <w:pPr>
        <w:pStyle w:val="Randziffern"/>
        <w:numPr>
          <w:ilvl w:val="0"/>
          <w:numId w:val="35"/>
        </w:numPr>
        <w:tabs>
          <w:tab w:val="left" w:pos="851"/>
        </w:tabs>
      </w:pPr>
      <w:r>
        <w:t xml:space="preserve">Dass Art. 8 Abs. 2 DSV </w:t>
      </w:r>
      <w:r w:rsidR="006433AF">
        <w:t xml:space="preserve">im Ergebnis </w:t>
      </w:r>
      <w:r>
        <w:t xml:space="preserve">ebenfalls </w:t>
      </w:r>
      <w:r w:rsidR="006433AF">
        <w:t xml:space="preserve">verlangt, dass keine </w:t>
      </w:r>
      <w:r>
        <w:t>problematische</w:t>
      </w:r>
      <w:r w:rsidR="006433AF">
        <w:t>n</w:t>
      </w:r>
      <w:r>
        <w:t xml:space="preserve"> Gesetze </w:t>
      </w:r>
      <w:r w:rsidR="00C63F50">
        <w:t xml:space="preserve">im obigen Sinne </w:t>
      </w:r>
      <w:r>
        <w:t>bestehen;</w:t>
      </w:r>
    </w:p>
    <w:p w14:paraId="62524635" w14:textId="5AEEE913" w:rsidR="00A25F1B" w:rsidRDefault="00A25F1B" w:rsidP="004C31D4">
      <w:pPr>
        <w:pStyle w:val="Randziffern"/>
        <w:numPr>
          <w:ilvl w:val="0"/>
          <w:numId w:val="35"/>
        </w:numPr>
        <w:tabs>
          <w:tab w:val="left" w:pos="851"/>
        </w:tabs>
      </w:pPr>
      <w:r w:rsidRPr="007A5008">
        <w:t xml:space="preserve">Dass die Europäische Kommission in ihrem </w:t>
      </w:r>
      <w:r w:rsidR="007A5008" w:rsidRPr="007A5008">
        <w:t xml:space="preserve">Angemessenheitsbeschluss </w:t>
      </w:r>
      <w:r w:rsidR="007A5008">
        <w:t xml:space="preserve">für das EU-US DPF </w:t>
      </w:r>
      <w:r w:rsidR="007A5008" w:rsidRPr="007A5008">
        <w:t>vom 10. Juli 2023 (Erwägungen 90-200) zum Schluss gekommen is</w:t>
      </w:r>
      <w:r w:rsidR="007A5008">
        <w:t xml:space="preserve">t, dass in den USA </w:t>
      </w:r>
      <w:r w:rsidR="007A5008" w:rsidRPr="007A5008">
        <w:t>keine problematischen Gesetze bestehen;</w:t>
      </w:r>
    </w:p>
    <w:p w14:paraId="1BDBABB5" w14:textId="7DE1426C" w:rsidR="004C31D4" w:rsidRPr="004C31D4" w:rsidRDefault="00A25F1B" w:rsidP="004C31D4">
      <w:pPr>
        <w:pStyle w:val="Randziffern"/>
        <w:numPr>
          <w:ilvl w:val="0"/>
          <w:numId w:val="35"/>
        </w:numPr>
        <w:tabs>
          <w:tab w:val="left" w:pos="851"/>
        </w:tabs>
      </w:pPr>
      <w:r>
        <w:t xml:space="preserve">Dass </w:t>
      </w:r>
      <w:r w:rsidR="00C63F50">
        <w:t xml:space="preserve">im </w:t>
      </w:r>
      <w:r w:rsidR="004C31D4">
        <w:t xml:space="preserve">US-Recht </w:t>
      </w:r>
      <w:r w:rsidR="007A5008">
        <w:t xml:space="preserve">nach diesen Beurteilungen </w:t>
      </w:r>
      <w:r w:rsidR="006433AF">
        <w:t xml:space="preserve">mindestens ab </w:t>
      </w:r>
      <w:r w:rsidR="006B4D60">
        <w:t xml:space="preserve">dem 15. </w:t>
      </w:r>
      <w:r w:rsidR="006433AF">
        <w:t xml:space="preserve">September 2024 auch für Übermittlungen </w:t>
      </w:r>
      <w:r w:rsidR="00C63F50">
        <w:t xml:space="preserve">von Personendaten </w:t>
      </w:r>
      <w:r w:rsidR="006433AF">
        <w:t xml:space="preserve">aus der Schweiz </w:t>
      </w:r>
      <w:r w:rsidR="00C63F50">
        <w:t xml:space="preserve">keine </w:t>
      </w:r>
      <w:r w:rsidR="004C31D4" w:rsidRPr="004C31D4">
        <w:t>problematische</w:t>
      </w:r>
      <w:r w:rsidR="00C63F50">
        <w:t>n</w:t>
      </w:r>
      <w:r w:rsidR="004C31D4" w:rsidRPr="004C31D4">
        <w:t xml:space="preserve"> Gesetze </w:t>
      </w:r>
      <w:r w:rsidR="00C63F50">
        <w:t>bestehen.</w:t>
      </w:r>
    </w:p>
    <w:p w14:paraId="55570D5A" w14:textId="35820BCD" w:rsidR="004C31D4" w:rsidRPr="004C31D4" w:rsidRDefault="004C31D4" w:rsidP="004C31D4">
      <w:pPr>
        <w:pStyle w:val="Randziffern"/>
        <w:numPr>
          <w:ilvl w:val="0"/>
          <w:numId w:val="0"/>
        </w:numPr>
        <w:tabs>
          <w:tab w:val="left" w:pos="851"/>
        </w:tabs>
      </w:pPr>
      <w:r w:rsidRPr="004C31D4">
        <w:t xml:space="preserve">Der Exporteur stimmt </w:t>
      </w:r>
      <w:proofErr w:type="gramStart"/>
      <w:r w:rsidR="00C63F50">
        <w:t xml:space="preserve">diesen </w:t>
      </w:r>
      <w:r w:rsidRPr="004C31D4">
        <w:t>Feststellung</w:t>
      </w:r>
      <w:proofErr w:type="gramEnd"/>
      <w:r w:rsidRPr="004C31D4">
        <w:t xml:space="preserve"> des Bundesamtes für Justiz</w:t>
      </w:r>
      <w:r w:rsidR="007A5008">
        <w:t xml:space="preserve">, </w:t>
      </w:r>
      <w:r w:rsidRPr="004C31D4">
        <w:t xml:space="preserve">des Bundesrates </w:t>
      </w:r>
      <w:r w:rsidR="007A5008">
        <w:t xml:space="preserve">und der Europäischen Kommission </w:t>
      </w:r>
      <w:r w:rsidRPr="004C31D4">
        <w:t>zu und kommt auch für seine eigenen Zwecke zu</w:t>
      </w:r>
      <w:r>
        <w:t xml:space="preserve">m </w:t>
      </w:r>
      <w:r w:rsidRPr="004C31D4">
        <w:t xml:space="preserve">Schluss, dass er keinen Grund zu der Annahme hat, dass </w:t>
      </w:r>
      <w:r>
        <w:t xml:space="preserve">in die </w:t>
      </w:r>
      <w:r w:rsidRPr="004C31D4">
        <w:t xml:space="preserve">USA </w:t>
      </w:r>
      <w:r w:rsidR="00EC54F8">
        <w:t xml:space="preserve">übermittelten Personendaten </w:t>
      </w:r>
      <w:r w:rsidR="00C63F50">
        <w:t xml:space="preserve">dort </w:t>
      </w:r>
      <w:r w:rsidRPr="004C31D4">
        <w:t xml:space="preserve">problematischen Gesetzen </w:t>
      </w:r>
      <w:r w:rsidR="00C63F50">
        <w:t>im obigen Sinne und im Sinne von Art. 14 SCC unterliegt</w:t>
      </w:r>
      <w:r w:rsidRPr="004C31D4">
        <w:t>.</w:t>
      </w:r>
    </w:p>
    <w:p w14:paraId="527971DA" w14:textId="77777777" w:rsidR="004C31D4" w:rsidRPr="004C31D4" w:rsidRDefault="004C31D4">
      <w:pPr>
        <w:tabs>
          <w:tab w:val="clear" w:pos="0"/>
          <w:tab w:val="clear" w:pos="851"/>
          <w:tab w:val="clear" w:pos="1418"/>
          <w:tab w:val="clear" w:pos="1985"/>
          <w:tab w:val="clear" w:pos="2552"/>
          <w:tab w:val="clear" w:pos="3119"/>
        </w:tabs>
        <w:spacing w:before="0" w:after="0" w:line="240" w:lineRule="auto"/>
        <w:jc w:val="left"/>
        <w:rPr>
          <w:b/>
          <w:caps/>
          <w:kern w:val="28"/>
        </w:rPr>
      </w:pPr>
      <w:r w:rsidRPr="004C31D4">
        <w:br w:type="page"/>
      </w:r>
    </w:p>
    <w:p w14:paraId="39BB27EB" w14:textId="1FB088B6" w:rsidR="00774DE8" w:rsidRDefault="00EA1CD2" w:rsidP="00774DE8">
      <w:pPr>
        <w:pStyle w:val="berschrift1"/>
        <w:numPr>
          <w:ilvl w:val="0"/>
          <w:numId w:val="0"/>
        </w:numPr>
        <w:ind w:left="851" w:hanging="851"/>
        <w:rPr>
          <w:lang w:val="en-US"/>
        </w:rPr>
      </w:pPr>
      <w:r>
        <w:rPr>
          <w:lang w:val="en-US"/>
        </w:rPr>
        <w:lastRenderedPageBreak/>
        <w:t>T</w:t>
      </w:r>
      <w:r w:rsidR="00774DE8" w:rsidRPr="00774DE8">
        <w:rPr>
          <w:lang w:val="en-US"/>
        </w:rPr>
        <w:t>ransfer Impact Assessment for t</w:t>
      </w:r>
      <w:r w:rsidR="00774DE8">
        <w:rPr>
          <w:lang w:val="en-US"/>
        </w:rPr>
        <w:t>he US</w:t>
      </w:r>
      <w:r w:rsidR="007E26F6">
        <w:rPr>
          <w:lang w:val="en-US"/>
        </w:rPr>
        <w:t xml:space="preserve"> (SWiss Version)</w:t>
      </w:r>
    </w:p>
    <w:p w14:paraId="49FB088D" w14:textId="77777777" w:rsidR="00680A89" w:rsidRPr="009F593C" w:rsidRDefault="00680A89" w:rsidP="009F593C">
      <w:pPr>
        <w:pStyle w:val="Normal0"/>
        <w:spacing w:line="240" w:lineRule="auto"/>
        <w:rPr>
          <w:sz w:val="16"/>
          <w:szCs w:val="16"/>
          <w:lang w:val="en-US"/>
        </w:rPr>
      </w:pPr>
    </w:p>
    <w:p w14:paraId="733417BA" w14:textId="5BAAFEBA" w:rsidR="00644695" w:rsidRDefault="00644695" w:rsidP="00774DE8">
      <w:pPr>
        <w:pStyle w:val="Normal0"/>
        <w:rPr>
          <w:lang w:val="en-US"/>
        </w:rPr>
      </w:pPr>
      <w:r>
        <w:rPr>
          <w:lang w:val="en-US"/>
        </w:rPr>
        <w:t xml:space="preserve">Made by: </w:t>
      </w:r>
      <w:r>
        <w:rPr>
          <w:lang w:val="en-US"/>
        </w:rPr>
        <w:tab/>
        <w:t>[</w:t>
      </w:r>
      <w:r w:rsidRPr="009D3427">
        <w:rPr>
          <w:highlight w:val="yellow"/>
          <w:lang w:val="en-US"/>
        </w:rPr>
        <w:t>Name of organization</w:t>
      </w:r>
      <w:r>
        <w:rPr>
          <w:lang w:val="en-US"/>
        </w:rPr>
        <w:t>]</w:t>
      </w:r>
      <w:r w:rsidR="00B46ABE">
        <w:rPr>
          <w:lang w:val="en-US"/>
        </w:rPr>
        <w:t xml:space="preserve"> (the </w:t>
      </w:r>
      <w:r w:rsidR="00B46ABE" w:rsidRPr="00773955">
        <w:rPr>
          <w:b/>
          <w:lang w:val="en-US"/>
        </w:rPr>
        <w:t>Exporter</w:t>
      </w:r>
      <w:r w:rsidR="00B46ABE">
        <w:rPr>
          <w:lang w:val="en-US"/>
        </w:rPr>
        <w:t>)</w:t>
      </w:r>
    </w:p>
    <w:p w14:paraId="0CD7F920" w14:textId="77777777" w:rsidR="00644695" w:rsidRDefault="00644695" w:rsidP="00774DE8">
      <w:pPr>
        <w:pStyle w:val="Normal0"/>
        <w:rPr>
          <w:lang w:val="en-US"/>
        </w:rPr>
      </w:pPr>
      <w:r>
        <w:rPr>
          <w:lang w:val="en-US"/>
        </w:rPr>
        <w:t>Date:</w:t>
      </w:r>
      <w:r>
        <w:rPr>
          <w:lang w:val="en-US"/>
        </w:rPr>
        <w:tab/>
      </w:r>
      <w:r>
        <w:rPr>
          <w:lang w:val="en-US"/>
        </w:rPr>
        <w:tab/>
        <w:t>[</w:t>
      </w:r>
      <w:r w:rsidRPr="009D3427">
        <w:rPr>
          <w:highlight w:val="yellow"/>
          <w:lang w:val="en-US"/>
        </w:rPr>
        <w:t>Date</w:t>
      </w:r>
      <w:r>
        <w:rPr>
          <w:lang w:val="en-US"/>
        </w:rPr>
        <w:t>]</w:t>
      </w:r>
    </w:p>
    <w:p w14:paraId="645D11F9" w14:textId="77777777" w:rsidR="00680A89" w:rsidRPr="009F593C" w:rsidRDefault="00680A89" w:rsidP="009F593C">
      <w:pPr>
        <w:pStyle w:val="Normal0"/>
        <w:spacing w:line="240" w:lineRule="auto"/>
        <w:rPr>
          <w:sz w:val="16"/>
          <w:szCs w:val="16"/>
          <w:lang w:val="en-US"/>
        </w:rPr>
      </w:pPr>
    </w:p>
    <w:p w14:paraId="0CF778FD" w14:textId="3E83E10A" w:rsidR="00644695" w:rsidRDefault="00644695" w:rsidP="00774DE8">
      <w:pPr>
        <w:pStyle w:val="Normal0"/>
        <w:rPr>
          <w:lang w:val="en-US"/>
        </w:rPr>
      </w:pPr>
      <w:r>
        <w:rPr>
          <w:lang w:val="en-US"/>
        </w:rPr>
        <w:t>Considering:</w:t>
      </w:r>
    </w:p>
    <w:p w14:paraId="542519BC" w14:textId="03A939C9" w:rsidR="00D56FD4" w:rsidRPr="00847072" w:rsidRDefault="00EA1CD2" w:rsidP="00847072">
      <w:pPr>
        <w:pStyle w:val="Randziffern"/>
        <w:numPr>
          <w:ilvl w:val="0"/>
          <w:numId w:val="37"/>
        </w:numPr>
        <w:rPr>
          <w:lang w:val="en-US"/>
        </w:rPr>
      </w:pPr>
      <w:r w:rsidRPr="00847072">
        <w:rPr>
          <w:lang w:val="en-US"/>
        </w:rPr>
        <w:t xml:space="preserve">That </w:t>
      </w:r>
      <w:r w:rsidR="00ED16CB" w:rsidRPr="00847072">
        <w:rPr>
          <w:lang w:val="en-US"/>
        </w:rPr>
        <w:t xml:space="preserve">a </w:t>
      </w:r>
      <w:r w:rsidRPr="00847072">
        <w:rPr>
          <w:lang w:val="en-US"/>
        </w:rPr>
        <w:t>controller or processor</w:t>
      </w:r>
      <w:r w:rsidR="00B46ABE" w:rsidRPr="00847072">
        <w:rPr>
          <w:lang w:val="en-US"/>
        </w:rPr>
        <w:t xml:space="preserve"> subject to the </w:t>
      </w:r>
      <w:r w:rsidR="007E26F6" w:rsidRPr="00847072">
        <w:rPr>
          <w:lang w:val="en-US"/>
        </w:rPr>
        <w:t xml:space="preserve">Swiss Data Protection Act </w:t>
      </w:r>
      <w:r w:rsidR="00B46ABE" w:rsidRPr="00847072">
        <w:rPr>
          <w:lang w:val="en-US"/>
        </w:rPr>
        <w:t>(</w:t>
      </w:r>
      <w:r w:rsidR="007E26F6" w:rsidRPr="00847072">
        <w:rPr>
          <w:b/>
          <w:lang w:val="en-US"/>
        </w:rPr>
        <w:t>DPA</w:t>
      </w:r>
      <w:r w:rsidR="00B46ABE" w:rsidRPr="00847072">
        <w:rPr>
          <w:lang w:val="en-US"/>
        </w:rPr>
        <w:t>)</w:t>
      </w:r>
      <w:r w:rsidR="00ED16CB" w:rsidRPr="00847072">
        <w:rPr>
          <w:lang w:val="en-US"/>
        </w:rPr>
        <w:t xml:space="preserve"> transferring </w:t>
      </w:r>
      <w:r w:rsidRPr="00847072">
        <w:rPr>
          <w:lang w:val="en-US"/>
        </w:rPr>
        <w:t xml:space="preserve">personal data </w:t>
      </w:r>
      <w:r w:rsidR="00F6241E" w:rsidRPr="00847072">
        <w:rPr>
          <w:lang w:val="en-US"/>
        </w:rPr>
        <w:t>to a</w:t>
      </w:r>
      <w:r w:rsidR="00E96F29" w:rsidRPr="00847072">
        <w:rPr>
          <w:lang w:val="en-US"/>
        </w:rPr>
        <w:t xml:space="preserve">n importer </w:t>
      </w:r>
      <w:r w:rsidR="00B64F9E" w:rsidRPr="00847072">
        <w:rPr>
          <w:lang w:val="en-US"/>
        </w:rPr>
        <w:t xml:space="preserve">in a </w:t>
      </w:r>
      <w:r w:rsidR="00F6241E" w:rsidRPr="00847072">
        <w:rPr>
          <w:lang w:val="en-US"/>
        </w:rPr>
        <w:t xml:space="preserve">third country </w:t>
      </w:r>
      <w:r w:rsidR="00E96F29" w:rsidRPr="00847072">
        <w:rPr>
          <w:lang w:val="en-US"/>
        </w:rPr>
        <w:t>(</w:t>
      </w:r>
      <w:r w:rsidR="00E96F29" w:rsidRPr="00847072">
        <w:rPr>
          <w:b/>
          <w:lang w:val="en-US"/>
        </w:rPr>
        <w:t>Importer</w:t>
      </w:r>
      <w:r w:rsidR="00E96F29" w:rsidRPr="00847072">
        <w:rPr>
          <w:lang w:val="en-US"/>
        </w:rPr>
        <w:t xml:space="preserve">) </w:t>
      </w:r>
      <w:r w:rsidR="00B64F9E" w:rsidRPr="00847072">
        <w:rPr>
          <w:lang w:val="en-US"/>
        </w:rPr>
        <w:t xml:space="preserve">for which no decision pursuant to Art. </w:t>
      </w:r>
      <w:r w:rsidR="007E26F6" w:rsidRPr="00847072">
        <w:rPr>
          <w:lang w:val="en-US"/>
        </w:rPr>
        <w:t>16</w:t>
      </w:r>
      <w:r w:rsidR="00B64F9E" w:rsidRPr="00847072">
        <w:rPr>
          <w:lang w:val="en-US"/>
        </w:rPr>
        <w:t>(</w:t>
      </w:r>
      <w:r w:rsidR="007E26F6" w:rsidRPr="00847072">
        <w:rPr>
          <w:lang w:val="en-US"/>
        </w:rPr>
        <w:t>1</w:t>
      </w:r>
      <w:r w:rsidR="00B64F9E" w:rsidRPr="00847072">
        <w:rPr>
          <w:lang w:val="en-US"/>
        </w:rPr>
        <w:t xml:space="preserve">) </w:t>
      </w:r>
      <w:r w:rsidR="007E26F6" w:rsidRPr="00847072">
        <w:rPr>
          <w:lang w:val="en-US"/>
        </w:rPr>
        <w:t xml:space="preserve">DPA </w:t>
      </w:r>
      <w:r w:rsidR="009F593C" w:rsidRPr="00847072">
        <w:rPr>
          <w:lang w:val="en-US"/>
        </w:rPr>
        <w:t>applies</w:t>
      </w:r>
      <w:r w:rsidR="00B016BC" w:rsidRPr="00847072">
        <w:rPr>
          <w:lang w:val="en-US"/>
        </w:rPr>
        <w:t xml:space="preserve">, requires appropriate safeguards </w:t>
      </w:r>
      <w:r w:rsidR="00D56FD4" w:rsidRPr="00847072">
        <w:rPr>
          <w:lang w:val="en-US"/>
        </w:rPr>
        <w:t xml:space="preserve">pursuant to Art. </w:t>
      </w:r>
      <w:r w:rsidR="007E26F6" w:rsidRPr="00847072">
        <w:rPr>
          <w:lang w:val="en-US"/>
        </w:rPr>
        <w:t xml:space="preserve">16(2) </w:t>
      </w:r>
      <w:proofErr w:type="gramStart"/>
      <w:r w:rsidR="007E26F6" w:rsidRPr="00847072">
        <w:rPr>
          <w:lang w:val="en-US"/>
        </w:rPr>
        <w:t>DPA</w:t>
      </w:r>
      <w:r w:rsidR="00D56FD4" w:rsidRPr="00847072">
        <w:rPr>
          <w:lang w:val="en-US"/>
        </w:rPr>
        <w:t>;</w:t>
      </w:r>
      <w:proofErr w:type="gramEnd"/>
    </w:p>
    <w:p w14:paraId="3B5D967C" w14:textId="62D172F8" w:rsidR="00D56FD4" w:rsidRDefault="00932550" w:rsidP="00EA1CD2">
      <w:pPr>
        <w:pStyle w:val="Randziffern"/>
        <w:rPr>
          <w:lang w:val="en-US"/>
        </w:rPr>
      </w:pPr>
      <w:r>
        <w:rPr>
          <w:lang w:val="en-US"/>
        </w:rPr>
        <w:t>That t</w:t>
      </w:r>
      <w:r w:rsidR="00D56FD4">
        <w:rPr>
          <w:lang w:val="en-US"/>
        </w:rPr>
        <w:t>he United States of America (</w:t>
      </w:r>
      <w:r w:rsidR="00D56FD4" w:rsidRPr="00B315F1">
        <w:rPr>
          <w:b/>
          <w:lang w:val="en-US"/>
        </w:rPr>
        <w:t>US</w:t>
      </w:r>
      <w:r w:rsidR="00D56FD4">
        <w:rPr>
          <w:lang w:val="en-US"/>
        </w:rPr>
        <w:t>) is such a country</w:t>
      </w:r>
      <w:r w:rsidR="009F593C">
        <w:rPr>
          <w:lang w:val="en-US"/>
        </w:rPr>
        <w:t xml:space="preserve"> for those importers not </w:t>
      </w:r>
      <w:r w:rsidR="00C63F50">
        <w:rPr>
          <w:lang w:val="en-US"/>
        </w:rPr>
        <w:t xml:space="preserve">certified </w:t>
      </w:r>
      <w:r w:rsidR="009F593C">
        <w:rPr>
          <w:lang w:val="en-US"/>
        </w:rPr>
        <w:t xml:space="preserve">under the </w:t>
      </w:r>
      <w:r w:rsidR="007E26F6">
        <w:rPr>
          <w:lang w:val="en-US"/>
        </w:rPr>
        <w:t>Swiss</w:t>
      </w:r>
      <w:r w:rsidR="009F593C">
        <w:rPr>
          <w:lang w:val="en-US"/>
        </w:rPr>
        <w:t>-US Data Privacy Framework (</w:t>
      </w:r>
      <w:r w:rsidR="007E26F6">
        <w:rPr>
          <w:b/>
          <w:lang w:val="en-US"/>
        </w:rPr>
        <w:t>Swiss</w:t>
      </w:r>
      <w:r w:rsidR="009F593C" w:rsidRPr="009F593C">
        <w:rPr>
          <w:b/>
          <w:lang w:val="en-US"/>
        </w:rPr>
        <w:t>-US</w:t>
      </w:r>
      <w:r w:rsidR="009F593C">
        <w:rPr>
          <w:lang w:val="en-US"/>
        </w:rPr>
        <w:t xml:space="preserve"> </w:t>
      </w:r>
      <w:r w:rsidR="009F593C">
        <w:rPr>
          <w:b/>
          <w:lang w:val="en-US"/>
        </w:rPr>
        <w:t>DPF</w:t>
      </w:r>
      <w:proofErr w:type="gramStart"/>
      <w:r w:rsidR="009F593C">
        <w:rPr>
          <w:lang w:val="en-US"/>
        </w:rPr>
        <w:t>)</w:t>
      </w:r>
      <w:r w:rsidR="00D56FD4">
        <w:rPr>
          <w:lang w:val="en-US"/>
        </w:rPr>
        <w:t>;</w:t>
      </w:r>
      <w:proofErr w:type="gramEnd"/>
    </w:p>
    <w:p w14:paraId="7A748DEB" w14:textId="63CA61E2" w:rsidR="00773955" w:rsidRDefault="00B46ABE" w:rsidP="003667D0">
      <w:pPr>
        <w:pStyle w:val="Randziffern"/>
        <w:tabs>
          <w:tab w:val="left" w:pos="851"/>
        </w:tabs>
        <w:rPr>
          <w:lang w:val="en-US"/>
        </w:rPr>
      </w:pPr>
      <w:r w:rsidRPr="00B46ABE">
        <w:rPr>
          <w:lang w:val="en-US"/>
        </w:rPr>
        <w:t xml:space="preserve">That the </w:t>
      </w:r>
      <w:r w:rsidR="00B83426" w:rsidRPr="00B46ABE">
        <w:rPr>
          <w:lang w:val="en-US"/>
        </w:rPr>
        <w:t>Standard Contractual Clause</w:t>
      </w:r>
      <w:r w:rsidR="00B315F1" w:rsidRPr="00B46ABE">
        <w:rPr>
          <w:lang w:val="en-US"/>
        </w:rPr>
        <w:t xml:space="preserve">s </w:t>
      </w:r>
      <w:r w:rsidR="00C63F50">
        <w:rPr>
          <w:lang w:val="en-US"/>
        </w:rPr>
        <w:t xml:space="preserve">for cross-border transfers </w:t>
      </w:r>
      <w:r w:rsidR="00B315F1" w:rsidRPr="00B46ABE">
        <w:rPr>
          <w:lang w:val="en-US"/>
        </w:rPr>
        <w:t>(</w:t>
      </w:r>
      <w:r w:rsidR="00B315F1" w:rsidRPr="00B46ABE">
        <w:rPr>
          <w:b/>
          <w:lang w:val="en-US"/>
        </w:rPr>
        <w:t>SCC</w:t>
      </w:r>
      <w:r w:rsidR="00B315F1" w:rsidRPr="00B46ABE">
        <w:rPr>
          <w:lang w:val="en-US"/>
        </w:rPr>
        <w:t xml:space="preserve">) approved by the European Commission on June </w:t>
      </w:r>
      <w:r w:rsidR="0048291B">
        <w:rPr>
          <w:lang w:val="en-US"/>
        </w:rPr>
        <w:t>4</w:t>
      </w:r>
      <w:r w:rsidR="00B315F1" w:rsidRPr="00B46ABE">
        <w:rPr>
          <w:lang w:val="en-US"/>
        </w:rPr>
        <w:t>, 2021</w:t>
      </w:r>
      <w:r w:rsidR="00007368">
        <w:rPr>
          <w:lang w:val="en-US"/>
        </w:rPr>
        <w:t>,</w:t>
      </w:r>
      <w:r w:rsidR="00B315F1" w:rsidRPr="00B46ABE">
        <w:rPr>
          <w:lang w:val="en-US"/>
        </w:rPr>
        <w:t xml:space="preserve"> </w:t>
      </w:r>
      <w:r w:rsidR="007E26F6">
        <w:rPr>
          <w:lang w:val="en-US"/>
        </w:rPr>
        <w:t xml:space="preserve">in combination with certain amendments for Swiss law, </w:t>
      </w:r>
      <w:r w:rsidR="00B315F1" w:rsidRPr="00B46ABE">
        <w:rPr>
          <w:lang w:val="en-US"/>
        </w:rPr>
        <w:t xml:space="preserve">provide for such safeguards, provided that </w:t>
      </w:r>
      <w:r w:rsidR="00AD1C11" w:rsidRPr="00B46ABE">
        <w:rPr>
          <w:lang w:val="en-US"/>
        </w:rPr>
        <w:t xml:space="preserve">the </w:t>
      </w:r>
      <w:r w:rsidRPr="00B46ABE">
        <w:rPr>
          <w:lang w:val="en-US"/>
        </w:rPr>
        <w:t xml:space="preserve">Exporter and Importer </w:t>
      </w:r>
      <w:r w:rsidR="00AD1C11" w:rsidRPr="00B46ABE">
        <w:rPr>
          <w:lang w:val="en-US"/>
        </w:rPr>
        <w:t xml:space="preserve">have no reason to believe that the laws and practices in the third country </w:t>
      </w:r>
      <w:r w:rsidR="00E96F29" w:rsidRPr="00B46ABE">
        <w:rPr>
          <w:lang w:val="en-US"/>
        </w:rPr>
        <w:t>prevent the importer from fulfilling its obligations under the SCC (</w:t>
      </w:r>
      <w:r w:rsidR="00BA2982" w:rsidRPr="00BA2982">
        <w:rPr>
          <w:b/>
          <w:lang w:val="en-US"/>
        </w:rPr>
        <w:t>Problematic Laws</w:t>
      </w:r>
      <w:r w:rsidR="00BA2982">
        <w:rPr>
          <w:lang w:val="en-US"/>
        </w:rPr>
        <w:t>)</w:t>
      </w:r>
      <w:r w:rsidR="003667D0">
        <w:rPr>
          <w:lang w:val="en-US"/>
        </w:rPr>
        <w:t xml:space="preserve">, whereas </w:t>
      </w:r>
      <w:r w:rsidR="002D292B">
        <w:rPr>
          <w:lang w:val="en-US"/>
        </w:rPr>
        <w:t>l</w:t>
      </w:r>
      <w:r w:rsidR="00D009FE">
        <w:rPr>
          <w:lang w:val="en-US"/>
        </w:rPr>
        <w:t>aws and practices that respect the essence of the fundamental rights and freedoms and do not exce</w:t>
      </w:r>
      <w:r w:rsidR="003A3DA8">
        <w:rPr>
          <w:lang w:val="en-US"/>
        </w:rPr>
        <w:t xml:space="preserve">ed what is necessary and proportionate in a democratic society to safeguard one of the objectives listed in Art. 23(1) </w:t>
      </w:r>
      <w:r w:rsidR="00C63F50">
        <w:rPr>
          <w:lang w:val="en-US"/>
        </w:rPr>
        <w:t xml:space="preserve">EU </w:t>
      </w:r>
      <w:r w:rsidR="007E26F6">
        <w:rPr>
          <w:lang w:val="en-US"/>
        </w:rPr>
        <w:t xml:space="preserve">General Data Protection Regulation </w:t>
      </w:r>
      <w:r w:rsidR="003A3DA8">
        <w:rPr>
          <w:lang w:val="en-US"/>
        </w:rPr>
        <w:t xml:space="preserve">are not </w:t>
      </w:r>
      <w:r w:rsidR="00BA2982">
        <w:rPr>
          <w:lang w:val="en-US"/>
        </w:rPr>
        <w:t>Problematic Laws</w:t>
      </w:r>
      <w:r w:rsidR="003667D0">
        <w:rPr>
          <w:lang w:val="en-US"/>
        </w:rPr>
        <w:t xml:space="preserve"> (Art. 14 SCC)</w:t>
      </w:r>
      <w:r w:rsidR="003A3DA8">
        <w:rPr>
          <w:lang w:val="en-US"/>
        </w:rPr>
        <w:t>;</w:t>
      </w:r>
    </w:p>
    <w:p w14:paraId="7FDFF0B3" w14:textId="444AA5BC" w:rsidR="00BA2982" w:rsidRDefault="00130F45" w:rsidP="00773955">
      <w:pPr>
        <w:pStyle w:val="Randziffern"/>
        <w:tabs>
          <w:tab w:val="left" w:pos="851"/>
        </w:tabs>
        <w:rPr>
          <w:lang w:val="en-US"/>
        </w:rPr>
      </w:pPr>
      <w:r>
        <w:rPr>
          <w:lang w:val="en-US"/>
        </w:rPr>
        <w:t xml:space="preserve">That the Exporter considers transferring personal data to the US using the SCC as safeguards pursuant to Art. </w:t>
      </w:r>
      <w:r w:rsidR="007E26F6">
        <w:rPr>
          <w:lang w:val="en-US"/>
        </w:rPr>
        <w:t>1</w:t>
      </w:r>
      <w:r w:rsidR="00FC2CCC">
        <w:rPr>
          <w:lang w:val="en-US"/>
        </w:rPr>
        <w:t>6</w:t>
      </w:r>
      <w:r w:rsidR="00B450A4">
        <w:rPr>
          <w:lang w:val="en-US"/>
        </w:rPr>
        <w:t>(</w:t>
      </w:r>
      <w:r w:rsidR="007E26F6">
        <w:rPr>
          <w:lang w:val="en-US"/>
        </w:rPr>
        <w:t>1</w:t>
      </w:r>
      <w:r w:rsidR="00B450A4">
        <w:rPr>
          <w:lang w:val="en-US"/>
        </w:rPr>
        <w:t>)(</w:t>
      </w:r>
      <w:r w:rsidR="007E26F6">
        <w:rPr>
          <w:lang w:val="en-US"/>
        </w:rPr>
        <w:t>d</w:t>
      </w:r>
      <w:r w:rsidR="00B450A4">
        <w:rPr>
          <w:lang w:val="en-US"/>
        </w:rPr>
        <w:t>)</w:t>
      </w:r>
      <w:r>
        <w:rPr>
          <w:lang w:val="en-US"/>
        </w:rPr>
        <w:t xml:space="preserve"> </w:t>
      </w:r>
      <w:proofErr w:type="gramStart"/>
      <w:r w:rsidR="007E26F6">
        <w:rPr>
          <w:lang w:val="en-US"/>
        </w:rPr>
        <w:t>DPA</w:t>
      </w:r>
      <w:r w:rsidR="00B450A4">
        <w:rPr>
          <w:lang w:val="en-US"/>
        </w:rPr>
        <w:t>;</w:t>
      </w:r>
      <w:proofErr w:type="gramEnd"/>
    </w:p>
    <w:p w14:paraId="2A4F05B6" w14:textId="222CC0CE" w:rsidR="00B450A4" w:rsidRDefault="00B450A4" w:rsidP="00773955">
      <w:pPr>
        <w:pStyle w:val="Randziffern"/>
        <w:tabs>
          <w:tab w:val="left" w:pos="851"/>
        </w:tabs>
        <w:rPr>
          <w:lang w:val="en-US"/>
        </w:rPr>
      </w:pPr>
      <w:r>
        <w:rPr>
          <w:lang w:val="en-US"/>
        </w:rPr>
        <w:t xml:space="preserve">That the Exporter has reviewed </w:t>
      </w:r>
      <w:r w:rsidR="004D3150">
        <w:rPr>
          <w:lang w:val="en-US"/>
        </w:rPr>
        <w:t xml:space="preserve">the US laws and practices that may result in access and use </w:t>
      </w:r>
      <w:r w:rsidR="007A5008">
        <w:rPr>
          <w:lang w:val="en-US"/>
        </w:rPr>
        <w:t xml:space="preserve">by US public authorities </w:t>
      </w:r>
      <w:r w:rsidR="004D3150">
        <w:rPr>
          <w:lang w:val="en-US"/>
        </w:rPr>
        <w:t>of personal data transferred</w:t>
      </w:r>
      <w:r w:rsidR="007A5008">
        <w:rPr>
          <w:lang w:val="en-US"/>
        </w:rPr>
        <w:t xml:space="preserve"> to the US</w:t>
      </w:r>
      <w:r w:rsidR="004D3150">
        <w:rPr>
          <w:lang w:val="en-US"/>
        </w:rPr>
        <w:t xml:space="preserve">, as laid out </w:t>
      </w:r>
      <w:r w:rsidR="007E26F6">
        <w:rPr>
          <w:lang w:val="en-US"/>
        </w:rPr>
        <w:t xml:space="preserve">in the assessment of the </w:t>
      </w:r>
      <w:r w:rsidR="00C63F50">
        <w:rPr>
          <w:lang w:val="en-US"/>
        </w:rPr>
        <w:t xml:space="preserve">Swiss </w:t>
      </w:r>
      <w:r w:rsidR="007E26F6">
        <w:rPr>
          <w:lang w:val="en-US"/>
        </w:rPr>
        <w:t>Federal Office of Justice of April 30, 2024</w:t>
      </w:r>
      <w:r w:rsidR="006B4D60">
        <w:rPr>
          <w:lang w:val="en-US"/>
        </w:rPr>
        <w:t>,</w:t>
      </w:r>
      <w:r w:rsidR="007E26F6">
        <w:rPr>
          <w:lang w:val="en-US"/>
        </w:rPr>
        <w:t xml:space="preserve"> </w:t>
      </w:r>
      <w:r w:rsidR="00AD2873">
        <w:rPr>
          <w:lang w:val="en-US"/>
        </w:rPr>
        <w:t xml:space="preserve">and the materials referred to </w:t>
      </w:r>
      <w:proofErr w:type="gramStart"/>
      <w:r w:rsidR="00AD2873">
        <w:rPr>
          <w:lang w:val="en-US"/>
        </w:rPr>
        <w:t>therein</w:t>
      </w:r>
      <w:r w:rsidR="001666A9">
        <w:rPr>
          <w:lang w:val="en-US"/>
        </w:rPr>
        <w:t>;</w:t>
      </w:r>
      <w:proofErr w:type="gramEnd"/>
    </w:p>
    <w:p w14:paraId="41A072FE" w14:textId="051D7199" w:rsidR="006433AF" w:rsidRDefault="001666A9" w:rsidP="00773955">
      <w:pPr>
        <w:pStyle w:val="Randziffern"/>
        <w:tabs>
          <w:tab w:val="left" w:pos="851"/>
        </w:tabs>
        <w:rPr>
          <w:lang w:val="en-US"/>
        </w:rPr>
      </w:pPr>
      <w:r>
        <w:rPr>
          <w:lang w:val="en-US"/>
        </w:rPr>
        <w:t xml:space="preserve">That the </w:t>
      </w:r>
      <w:r w:rsidR="007E26F6">
        <w:rPr>
          <w:lang w:val="en-US"/>
        </w:rPr>
        <w:t>Federal Office of Justice and</w:t>
      </w:r>
      <w:r w:rsidR="006B4D60">
        <w:rPr>
          <w:lang w:val="en-US"/>
        </w:rPr>
        <w:t>,</w:t>
      </w:r>
      <w:r w:rsidR="007E26F6">
        <w:rPr>
          <w:lang w:val="en-US"/>
        </w:rPr>
        <w:t xml:space="preserve"> </w:t>
      </w:r>
      <w:r w:rsidR="007A5008">
        <w:rPr>
          <w:lang w:val="en-US"/>
        </w:rPr>
        <w:t>subsequently</w:t>
      </w:r>
      <w:r w:rsidR="006B4D60">
        <w:rPr>
          <w:lang w:val="en-US"/>
        </w:rPr>
        <w:t>,</w:t>
      </w:r>
      <w:r w:rsidR="007A5008">
        <w:rPr>
          <w:lang w:val="en-US"/>
        </w:rPr>
        <w:t xml:space="preserve"> on August 14, 2024, the Swiss </w:t>
      </w:r>
      <w:r w:rsidR="007E26F6">
        <w:rPr>
          <w:lang w:val="en-US"/>
        </w:rPr>
        <w:t>Federal Council</w:t>
      </w:r>
      <w:r w:rsidR="006433AF">
        <w:rPr>
          <w:lang w:val="en-US"/>
        </w:rPr>
        <w:t xml:space="preserve"> (with effect as of September 15, 2024)</w:t>
      </w:r>
      <w:r w:rsidR="00782EDD">
        <w:rPr>
          <w:lang w:val="en-US"/>
        </w:rPr>
        <w:t xml:space="preserve">, based on </w:t>
      </w:r>
      <w:r w:rsidR="007A5008">
        <w:rPr>
          <w:lang w:val="en-US"/>
        </w:rPr>
        <w:t xml:space="preserve">their </w:t>
      </w:r>
      <w:r w:rsidR="00EA2B7C">
        <w:rPr>
          <w:lang w:val="en-US"/>
        </w:rPr>
        <w:t>review</w:t>
      </w:r>
      <w:r w:rsidR="00366AB8">
        <w:rPr>
          <w:lang w:val="en-US"/>
        </w:rPr>
        <w:t xml:space="preserve"> of the foregoing</w:t>
      </w:r>
      <w:r w:rsidR="00782EDD">
        <w:rPr>
          <w:lang w:val="en-US"/>
        </w:rPr>
        <w:t xml:space="preserve">, </w:t>
      </w:r>
      <w:r w:rsidR="00D9698C">
        <w:rPr>
          <w:lang w:val="en-US"/>
        </w:rPr>
        <w:t xml:space="preserve">concluded </w:t>
      </w:r>
      <w:r w:rsidR="007E26F6">
        <w:rPr>
          <w:lang w:val="en-US"/>
        </w:rPr>
        <w:t xml:space="preserve">that the criteria as per Art. 8(2) Data Protection Ordinance </w:t>
      </w:r>
      <w:r w:rsidR="007A5008">
        <w:rPr>
          <w:lang w:val="en-US"/>
        </w:rPr>
        <w:t>(</w:t>
      </w:r>
      <w:r w:rsidR="007A5008" w:rsidRPr="007A5008">
        <w:rPr>
          <w:b/>
          <w:lang w:val="en-US"/>
        </w:rPr>
        <w:t>DPO</w:t>
      </w:r>
      <w:r w:rsidR="007A5008">
        <w:rPr>
          <w:lang w:val="en-US"/>
        </w:rPr>
        <w:t xml:space="preserve">) </w:t>
      </w:r>
      <w:r w:rsidR="007E26F6">
        <w:rPr>
          <w:lang w:val="en-US"/>
        </w:rPr>
        <w:t>are fulfilled</w:t>
      </w:r>
      <w:r w:rsidR="00D9698C">
        <w:rPr>
          <w:lang w:val="en-US"/>
        </w:rPr>
        <w:t>, including in cases of lawful access by US authorities (</w:t>
      </w:r>
      <w:r w:rsidR="00782EDD">
        <w:rPr>
          <w:lang w:val="en-US"/>
        </w:rPr>
        <w:t>in particular for criminal law enforcement and national security purposes</w:t>
      </w:r>
      <w:r w:rsidR="00D9698C">
        <w:rPr>
          <w:lang w:val="en-US"/>
        </w:rPr>
        <w:t>)</w:t>
      </w:r>
      <w:r w:rsidR="00782EDD">
        <w:rPr>
          <w:lang w:val="en-US"/>
        </w:rPr>
        <w:t xml:space="preserve"> </w:t>
      </w:r>
      <w:r w:rsidR="00D9698C">
        <w:rPr>
          <w:lang w:val="en-US"/>
        </w:rPr>
        <w:t xml:space="preserve">that </w:t>
      </w:r>
      <w:r w:rsidR="00C63F50">
        <w:rPr>
          <w:lang w:val="en-US"/>
        </w:rPr>
        <w:t xml:space="preserve">could </w:t>
      </w:r>
      <w:r w:rsidR="00D9698C">
        <w:rPr>
          <w:lang w:val="en-US"/>
        </w:rPr>
        <w:t xml:space="preserve">occur </w:t>
      </w:r>
      <w:r w:rsidR="00C63F50">
        <w:rPr>
          <w:lang w:val="en-US"/>
        </w:rPr>
        <w:t xml:space="preserve">despite and irrespective of </w:t>
      </w:r>
      <w:r w:rsidR="00D9698C">
        <w:rPr>
          <w:lang w:val="en-US"/>
        </w:rPr>
        <w:t xml:space="preserve">the Swiss-US DPF, </w:t>
      </w:r>
      <w:r w:rsidR="002C2EF5">
        <w:rPr>
          <w:lang w:val="en-US"/>
        </w:rPr>
        <w:t>in particular given the implementation of E</w:t>
      </w:r>
      <w:r w:rsidR="00A96F7D">
        <w:rPr>
          <w:lang w:val="en-US"/>
        </w:rPr>
        <w:t>O</w:t>
      </w:r>
      <w:r w:rsidR="002C2EF5">
        <w:rPr>
          <w:lang w:val="en-US"/>
        </w:rPr>
        <w:t xml:space="preserve"> 14086 and </w:t>
      </w:r>
      <w:r w:rsidR="006B4D60">
        <w:rPr>
          <w:lang w:val="en-US"/>
        </w:rPr>
        <w:t xml:space="preserve">the </w:t>
      </w:r>
      <w:r w:rsidR="00464556">
        <w:rPr>
          <w:lang w:val="en-US"/>
        </w:rPr>
        <w:t xml:space="preserve">designation of </w:t>
      </w:r>
      <w:r w:rsidR="00D9698C">
        <w:rPr>
          <w:lang w:val="en-US"/>
        </w:rPr>
        <w:t xml:space="preserve">Switzerland </w:t>
      </w:r>
      <w:r w:rsidR="00464556">
        <w:rPr>
          <w:lang w:val="en-US"/>
        </w:rPr>
        <w:t xml:space="preserve">as a </w:t>
      </w:r>
      <w:r w:rsidR="006433AF">
        <w:rPr>
          <w:lang w:val="en-US"/>
        </w:rPr>
        <w:t>"</w:t>
      </w:r>
      <w:r w:rsidR="00464556">
        <w:rPr>
          <w:lang w:val="en-US"/>
        </w:rPr>
        <w:t xml:space="preserve">qualifying </w:t>
      </w:r>
      <w:r w:rsidR="00D9698C">
        <w:rPr>
          <w:lang w:val="en-US"/>
        </w:rPr>
        <w:t>state</w:t>
      </w:r>
      <w:r w:rsidR="006433AF">
        <w:rPr>
          <w:lang w:val="en-US"/>
        </w:rPr>
        <w:t>";</w:t>
      </w:r>
    </w:p>
    <w:p w14:paraId="5EC506E3" w14:textId="4E1B0609" w:rsidR="006433AF" w:rsidRPr="006433AF" w:rsidRDefault="006433AF" w:rsidP="006433AF">
      <w:pPr>
        <w:pStyle w:val="Randziffern"/>
        <w:rPr>
          <w:lang w:val="en-US"/>
        </w:rPr>
      </w:pPr>
      <w:r w:rsidRPr="006433AF">
        <w:rPr>
          <w:lang w:val="en-US"/>
        </w:rPr>
        <w:t xml:space="preserve">That Art. 8 para. 2 </w:t>
      </w:r>
      <w:r>
        <w:rPr>
          <w:lang w:val="en-US"/>
        </w:rPr>
        <w:t xml:space="preserve">DPO </w:t>
      </w:r>
      <w:r w:rsidRPr="006433AF">
        <w:rPr>
          <w:lang w:val="en-US"/>
        </w:rPr>
        <w:t xml:space="preserve">also requires, in effect, that there are no </w:t>
      </w:r>
      <w:r>
        <w:rPr>
          <w:lang w:val="en-US"/>
        </w:rPr>
        <w:t>P</w:t>
      </w:r>
      <w:r w:rsidRPr="006433AF">
        <w:rPr>
          <w:lang w:val="en-US"/>
        </w:rPr>
        <w:t xml:space="preserve">roblematic </w:t>
      </w:r>
      <w:proofErr w:type="gramStart"/>
      <w:r w:rsidR="00C63F50">
        <w:rPr>
          <w:lang w:val="en-US"/>
        </w:rPr>
        <w:t>L</w:t>
      </w:r>
      <w:r w:rsidRPr="006433AF">
        <w:rPr>
          <w:lang w:val="en-US"/>
        </w:rPr>
        <w:t>aws;</w:t>
      </w:r>
      <w:proofErr w:type="gramEnd"/>
    </w:p>
    <w:p w14:paraId="47A61BD0" w14:textId="23F67AC8" w:rsidR="006433AF" w:rsidRPr="006433AF" w:rsidRDefault="006433AF" w:rsidP="006433AF">
      <w:pPr>
        <w:pStyle w:val="Randziffern"/>
        <w:rPr>
          <w:lang w:val="en-US"/>
        </w:rPr>
      </w:pPr>
      <w:r w:rsidRPr="006433AF">
        <w:rPr>
          <w:lang w:val="en-US"/>
        </w:rPr>
        <w:lastRenderedPageBreak/>
        <w:t xml:space="preserve">That the European Commission, in its adequacy decision for the EU-US DPF of July 10, 2023 (recitals 90-200), concluded that there are no longer any </w:t>
      </w:r>
      <w:r>
        <w:rPr>
          <w:lang w:val="en-US"/>
        </w:rPr>
        <w:t>P</w:t>
      </w:r>
      <w:r w:rsidRPr="006433AF">
        <w:rPr>
          <w:lang w:val="en-US"/>
        </w:rPr>
        <w:t xml:space="preserve">roblematic </w:t>
      </w:r>
      <w:r>
        <w:rPr>
          <w:lang w:val="en-US"/>
        </w:rPr>
        <w:t>L</w:t>
      </w:r>
      <w:r w:rsidRPr="006433AF">
        <w:rPr>
          <w:lang w:val="en-US"/>
        </w:rPr>
        <w:t xml:space="preserve">aws in the </w:t>
      </w:r>
      <w:proofErr w:type="gramStart"/>
      <w:r>
        <w:rPr>
          <w:lang w:val="en-US"/>
        </w:rPr>
        <w:t>US</w:t>
      </w:r>
      <w:r w:rsidRPr="006433AF">
        <w:rPr>
          <w:lang w:val="en-US"/>
        </w:rPr>
        <w:t>;</w:t>
      </w:r>
      <w:proofErr w:type="gramEnd"/>
    </w:p>
    <w:p w14:paraId="6DFB4E0E" w14:textId="59CFCB2F" w:rsidR="00EB4C58" w:rsidRDefault="006433AF" w:rsidP="006433AF">
      <w:pPr>
        <w:pStyle w:val="Randziffern"/>
        <w:rPr>
          <w:lang w:val="en-US"/>
        </w:rPr>
      </w:pPr>
      <w:r w:rsidRPr="006433AF">
        <w:rPr>
          <w:lang w:val="en-US"/>
        </w:rPr>
        <w:t xml:space="preserve">That, according to these assessments, </w:t>
      </w:r>
      <w:r>
        <w:rPr>
          <w:lang w:val="en-US"/>
        </w:rPr>
        <w:t xml:space="preserve">at least as of September 15, 2024, </w:t>
      </w:r>
      <w:r w:rsidR="00C63F50">
        <w:rPr>
          <w:lang w:val="en-US"/>
        </w:rPr>
        <w:t xml:space="preserve">there are no </w:t>
      </w:r>
      <w:r>
        <w:rPr>
          <w:lang w:val="en-US"/>
        </w:rPr>
        <w:t xml:space="preserve">Problematic Laws </w:t>
      </w:r>
      <w:r w:rsidR="00C63F50">
        <w:rPr>
          <w:lang w:val="en-US"/>
        </w:rPr>
        <w:t xml:space="preserve">in US law </w:t>
      </w:r>
      <w:proofErr w:type="gramStart"/>
      <w:r w:rsidR="00C63F50">
        <w:rPr>
          <w:lang w:val="en-US"/>
        </w:rPr>
        <w:t>with regard to</w:t>
      </w:r>
      <w:proofErr w:type="gramEnd"/>
      <w:r w:rsidR="00C63F50">
        <w:rPr>
          <w:lang w:val="en-US"/>
        </w:rPr>
        <w:t xml:space="preserve"> </w:t>
      </w:r>
      <w:r w:rsidRPr="006433AF">
        <w:rPr>
          <w:lang w:val="en-US"/>
        </w:rPr>
        <w:t xml:space="preserve">transfers </w:t>
      </w:r>
      <w:r w:rsidR="00C63F50">
        <w:rPr>
          <w:lang w:val="en-US"/>
        </w:rPr>
        <w:t xml:space="preserve">of personal data </w:t>
      </w:r>
      <w:r w:rsidRPr="006433AF">
        <w:rPr>
          <w:lang w:val="en-US"/>
        </w:rPr>
        <w:t>from Switzerland</w:t>
      </w:r>
      <w:r w:rsidR="00EC54F8">
        <w:rPr>
          <w:lang w:val="en-US"/>
        </w:rPr>
        <w:t>.</w:t>
      </w:r>
    </w:p>
    <w:p w14:paraId="58F49AE7" w14:textId="13530ECD" w:rsidR="001666A9" w:rsidRDefault="00EB4C58" w:rsidP="00EB4C58">
      <w:pPr>
        <w:pStyle w:val="Randziffern"/>
        <w:numPr>
          <w:ilvl w:val="0"/>
          <w:numId w:val="0"/>
        </w:numPr>
        <w:tabs>
          <w:tab w:val="left" w:pos="851"/>
        </w:tabs>
        <w:rPr>
          <w:lang w:val="en-US"/>
        </w:rPr>
      </w:pPr>
      <w:r>
        <w:rPr>
          <w:lang w:val="en-US"/>
        </w:rPr>
        <w:t xml:space="preserve">The Exporter </w:t>
      </w:r>
      <w:r w:rsidR="00EA2B7C">
        <w:rPr>
          <w:lang w:val="en-US"/>
        </w:rPr>
        <w:t xml:space="preserve">agrees with the </w:t>
      </w:r>
      <w:r w:rsidR="00D9698C">
        <w:rPr>
          <w:lang w:val="en-US"/>
        </w:rPr>
        <w:t>Federal Office of Justice</w:t>
      </w:r>
      <w:r w:rsidR="006433AF">
        <w:rPr>
          <w:lang w:val="en-US"/>
        </w:rPr>
        <w:t xml:space="preserve">, </w:t>
      </w:r>
      <w:r w:rsidR="00D9698C">
        <w:rPr>
          <w:lang w:val="en-US"/>
        </w:rPr>
        <w:t xml:space="preserve">Federal Council's </w:t>
      </w:r>
      <w:r w:rsidR="006433AF">
        <w:rPr>
          <w:lang w:val="en-US"/>
        </w:rPr>
        <w:t xml:space="preserve">and European Commission's </w:t>
      </w:r>
      <w:r w:rsidR="00EA2B7C">
        <w:rPr>
          <w:lang w:val="en-US"/>
        </w:rPr>
        <w:t>finding and</w:t>
      </w:r>
      <w:r w:rsidR="00464556">
        <w:rPr>
          <w:lang w:val="en-US"/>
        </w:rPr>
        <w:t>, as well,</w:t>
      </w:r>
      <w:r w:rsidR="00EA2B7C">
        <w:rPr>
          <w:lang w:val="en-US"/>
        </w:rPr>
        <w:t xml:space="preserve"> </w:t>
      </w:r>
      <w:r>
        <w:rPr>
          <w:lang w:val="en-US"/>
        </w:rPr>
        <w:t xml:space="preserve">concludes </w:t>
      </w:r>
      <w:r w:rsidR="00464556">
        <w:rPr>
          <w:lang w:val="en-US"/>
        </w:rPr>
        <w:t xml:space="preserve">for its own purposes </w:t>
      </w:r>
      <w:r>
        <w:rPr>
          <w:lang w:val="en-US"/>
        </w:rPr>
        <w:t xml:space="preserve">that </w:t>
      </w:r>
      <w:r w:rsidR="005B2011">
        <w:rPr>
          <w:lang w:val="en-US"/>
        </w:rPr>
        <w:t xml:space="preserve">it has no reason to believe that </w:t>
      </w:r>
      <w:r w:rsidR="00487BAD">
        <w:rPr>
          <w:lang w:val="en-US"/>
        </w:rPr>
        <w:t xml:space="preserve">personal data </w:t>
      </w:r>
      <w:r w:rsidR="00EC54F8">
        <w:rPr>
          <w:lang w:val="en-US"/>
        </w:rPr>
        <w:t xml:space="preserve">transferred </w:t>
      </w:r>
      <w:r w:rsidR="00487BAD">
        <w:rPr>
          <w:lang w:val="en-US"/>
        </w:rPr>
        <w:t>to the US will be subject to Problematic Laws</w:t>
      </w:r>
      <w:r w:rsidR="009D3427">
        <w:rPr>
          <w:lang w:val="en-US"/>
        </w:rPr>
        <w:t xml:space="preserve"> in the US</w:t>
      </w:r>
      <w:r w:rsidR="00C63F50">
        <w:rPr>
          <w:lang w:val="en-US"/>
        </w:rPr>
        <w:t xml:space="preserve"> as defined above and in Art. 14 SCC</w:t>
      </w:r>
      <w:r w:rsidR="006433AF">
        <w:rPr>
          <w:lang w:val="en-US"/>
        </w:rPr>
        <w:t>.</w:t>
      </w:r>
    </w:p>
    <w:sectPr w:rsidR="001666A9" w:rsidSect="007279E3">
      <w:headerReference w:type="default" r:id="rId7"/>
      <w:footerReference w:type="default" r:id="rId8"/>
      <w:headerReference w:type="first" r:id="rId9"/>
      <w:footerReference w:type="first" r:id="rId10"/>
      <w:pgSz w:w="11906" w:h="16838" w:code="9"/>
      <w:pgMar w:top="1911" w:right="992" w:bottom="992" w:left="2835"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590F5" w14:textId="77777777" w:rsidR="0015664F" w:rsidRDefault="0015664F">
      <w:r>
        <w:separator/>
      </w:r>
    </w:p>
  </w:endnote>
  <w:endnote w:type="continuationSeparator" w:id="0">
    <w:p w14:paraId="6695AA12" w14:textId="77777777" w:rsidR="0015664F" w:rsidRDefault="0015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321A6" w14:textId="148DEAFB" w:rsidR="000F41D7" w:rsidRDefault="000F41D7">
    <w:pPr>
      <w:pStyle w:val="Fuzeile"/>
    </w:pPr>
    <w:r>
      <w:rPr>
        <w:noProof/>
        <w:sz w:val="14"/>
        <w:szCs w:val="14"/>
        <w:lang w:eastAsia="de-CH" w:bidi="he-IL"/>
      </w:rPr>
      <mc:AlternateContent>
        <mc:Choice Requires="wps">
          <w:drawing>
            <wp:anchor distT="0" distB="0" distL="114300" distR="114300" simplePos="0" relativeHeight="251659264" behindDoc="0" locked="0" layoutInCell="1" allowOverlap="1" wp14:anchorId="237C5416" wp14:editId="62E467CE">
              <wp:simplePos x="0" y="0"/>
              <wp:positionH relativeFrom="column">
                <wp:posOffset>-1287780</wp:posOffset>
              </wp:positionH>
              <wp:positionV relativeFrom="paragraph">
                <wp:posOffset>113665</wp:posOffset>
              </wp:positionV>
              <wp:extent cx="6644640" cy="274320"/>
              <wp:effectExtent l="0" t="0" r="3810" b="0"/>
              <wp:wrapNone/>
              <wp:docPr id="6" name="Textfeld 6"/>
              <wp:cNvGraphicFramePr/>
              <a:graphic xmlns:a="http://schemas.openxmlformats.org/drawingml/2006/main">
                <a:graphicData uri="http://schemas.microsoft.com/office/word/2010/wordprocessingShape">
                  <wps:wsp>
                    <wps:cNvSpPr txBox="1"/>
                    <wps:spPr>
                      <a:xfrm>
                        <a:off x="0" y="0"/>
                        <a:ext cx="6644640" cy="274320"/>
                      </a:xfrm>
                      <a:prstGeom prst="rect">
                        <a:avLst/>
                      </a:prstGeom>
                      <a:solidFill>
                        <a:schemeClr val="lt1"/>
                      </a:solidFill>
                      <a:ln w="6350">
                        <a:noFill/>
                      </a:ln>
                    </wps:spPr>
                    <wps:txbx>
                      <w:txbxContent>
                        <w:p w14:paraId="705A3E14" w14:textId="77777777" w:rsidR="003E446F" w:rsidRPr="000F41D7" w:rsidRDefault="003E446F" w:rsidP="003E446F">
                          <w:pPr>
                            <w:spacing w:before="0" w:after="0" w:line="240" w:lineRule="auto"/>
                            <w:jc w:val="center"/>
                            <w:rPr>
                              <w:color w:val="7F7F7F" w:themeColor="text1" w:themeTint="80"/>
                              <w:sz w:val="14"/>
                              <w:szCs w:val="14"/>
                              <w:lang w:val="en-US"/>
                            </w:rPr>
                          </w:pPr>
                          <w:r w:rsidRPr="003E446F">
                            <w:rPr>
                              <w:color w:val="7F7F7F" w:themeColor="text1" w:themeTint="80"/>
                              <w:sz w:val="14"/>
                              <w:szCs w:val="14"/>
                            </w:rPr>
                            <w:t xml:space="preserve">Nur für Informationszwecke, kein Rechtsrat. </w:t>
                          </w:r>
                          <w:r w:rsidRPr="000F41D7">
                            <w:rPr>
                              <w:color w:val="7F7F7F" w:themeColor="text1" w:themeTint="80"/>
                              <w:sz w:val="14"/>
                              <w:szCs w:val="14"/>
                              <w:lang w:val="en-US"/>
                            </w:rPr>
                            <w:t>This is for informational purposes only and no legal advice.</w:t>
                          </w:r>
                          <w:r>
                            <w:rPr>
                              <w:color w:val="7F7F7F" w:themeColor="text1" w:themeTint="80"/>
                              <w:sz w:val="14"/>
                              <w:szCs w:val="14"/>
                              <w:lang w:val="en-US"/>
                            </w:rPr>
                            <w:br/>
                          </w:r>
                          <w:r w:rsidRPr="000F41D7">
                            <w:rPr>
                              <w:color w:val="7F7F7F" w:themeColor="text1" w:themeTint="80"/>
                              <w:sz w:val="14"/>
                              <w:szCs w:val="14"/>
                              <w:lang w:val="en-US"/>
                            </w:rPr>
                            <w:t xml:space="preserve">Author: David Rosenthal, </w:t>
                          </w:r>
                          <w:proofErr w:type="gramStart"/>
                          <w:r w:rsidRPr="003E446F">
                            <w:rPr>
                              <w:sz w:val="14"/>
                              <w:szCs w:val="14"/>
                              <w:lang w:val="en-US"/>
                            </w:rPr>
                            <w:t>david.rosenthal@vischer.com</w:t>
                          </w:r>
                          <w:r w:rsidRPr="000F41D7">
                            <w:rPr>
                              <w:color w:val="7F7F7F" w:themeColor="text1" w:themeTint="80"/>
                              <w:sz w:val="14"/>
                              <w:szCs w:val="14"/>
                              <w:lang w:val="en-US"/>
                            </w:rPr>
                            <w:t xml:space="preserve">  Updates</w:t>
                          </w:r>
                          <w:proofErr w:type="gramEnd"/>
                          <w:r w:rsidRPr="000F41D7">
                            <w:rPr>
                              <w:color w:val="7F7F7F" w:themeColor="text1" w:themeTint="80"/>
                              <w:sz w:val="14"/>
                              <w:szCs w:val="14"/>
                              <w:lang w:val="en-US"/>
                            </w:rPr>
                            <w:t>: www.rosenthal.ch</w:t>
                          </w:r>
                          <w:r>
                            <w:rPr>
                              <w:color w:val="7F7F7F" w:themeColor="text1" w:themeTint="80"/>
                              <w:sz w:val="14"/>
                              <w:szCs w:val="14"/>
                              <w:lang w:val="en-US"/>
                            </w:rPr>
                            <w:t>/downloads/VISCHER-TIA-USA-EO14086-CH</w:t>
                          </w:r>
                        </w:p>
                        <w:p w14:paraId="60AB98A6" w14:textId="6F24C303" w:rsidR="000F41D7" w:rsidRPr="000F41D7" w:rsidRDefault="000F41D7" w:rsidP="000F41D7">
                          <w:pPr>
                            <w:spacing w:before="0" w:after="0"/>
                            <w:jc w:val="center"/>
                            <w:rPr>
                              <w:color w:val="7F7F7F" w:themeColor="text1" w:themeTint="80"/>
                              <w:sz w:val="14"/>
                              <w:szCs w:val="14"/>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C5416" id="_x0000_t202" coordsize="21600,21600" o:spt="202" path="m,l,21600r21600,l21600,xe">
              <v:stroke joinstyle="miter"/>
              <v:path gradientshapeok="t" o:connecttype="rect"/>
            </v:shapetype>
            <v:shape id="Textfeld 6" o:spid="_x0000_s1026" type="#_x0000_t202" style="position:absolute;left:0;text-align:left;margin-left:-101.4pt;margin-top:8.95pt;width:52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" fillcolor="white [3201]" stroked="f" strokeweight=".5pt">
              <v:textbox inset="0,0,0,0">
                <w:txbxContent>
                  <w:p w14:paraId="705A3E14" w14:textId="77777777" w:rsidR="003E446F" w:rsidRPr="000F41D7" w:rsidRDefault="003E446F" w:rsidP="003E446F">
                    <w:pPr>
                      <w:spacing w:before="0" w:after="0" w:line="240" w:lineRule="auto"/>
                      <w:jc w:val="center"/>
                      <w:rPr>
                        <w:color w:val="7F7F7F" w:themeColor="text1" w:themeTint="80"/>
                        <w:sz w:val="14"/>
                        <w:szCs w:val="14"/>
                        <w:lang w:val="en-US"/>
                      </w:rPr>
                    </w:pPr>
                    <w:r w:rsidRPr="003E446F">
                      <w:rPr>
                        <w:color w:val="7F7F7F" w:themeColor="text1" w:themeTint="80"/>
                        <w:sz w:val="14"/>
                        <w:szCs w:val="14"/>
                      </w:rPr>
                      <w:t xml:space="preserve">Nur für Informationszwecke, kein Rechtsrat. </w:t>
                    </w:r>
                    <w:r w:rsidRPr="000F41D7">
                      <w:rPr>
                        <w:color w:val="7F7F7F" w:themeColor="text1" w:themeTint="80"/>
                        <w:sz w:val="14"/>
                        <w:szCs w:val="14"/>
                        <w:lang w:val="en-US"/>
                      </w:rPr>
                      <w:t>This is for informational purposes only and no legal advice.</w:t>
                    </w:r>
                    <w:r>
                      <w:rPr>
                        <w:color w:val="7F7F7F" w:themeColor="text1" w:themeTint="80"/>
                        <w:sz w:val="14"/>
                        <w:szCs w:val="14"/>
                        <w:lang w:val="en-US"/>
                      </w:rPr>
                      <w:br/>
                    </w:r>
                    <w:r w:rsidRPr="000F41D7">
                      <w:rPr>
                        <w:color w:val="7F7F7F" w:themeColor="text1" w:themeTint="80"/>
                        <w:sz w:val="14"/>
                        <w:szCs w:val="14"/>
                        <w:lang w:val="en-US"/>
                      </w:rPr>
                      <w:t xml:space="preserve">Author: David Rosenthal, </w:t>
                    </w:r>
                    <w:proofErr w:type="gramStart"/>
                    <w:r w:rsidRPr="003E446F">
                      <w:rPr>
                        <w:sz w:val="14"/>
                        <w:szCs w:val="14"/>
                        <w:lang w:val="en-US"/>
                      </w:rPr>
                      <w:t>david.rosenthal@vischer.com</w:t>
                    </w:r>
                    <w:r w:rsidRPr="000F41D7">
                      <w:rPr>
                        <w:color w:val="7F7F7F" w:themeColor="text1" w:themeTint="80"/>
                        <w:sz w:val="14"/>
                        <w:szCs w:val="14"/>
                        <w:lang w:val="en-US"/>
                      </w:rPr>
                      <w:t xml:space="preserve">  Updates</w:t>
                    </w:r>
                    <w:proofErr w:type="gramEnd"/>
                    <w:r w:rsidRPr="000F41D7">
                      <w:rPr>
                        <w:color w:val="7F7F7F" w:themeColor="text1" w:themeTint="80"/>
                        <w:sz w:val="14"/>
                        <w:szCs w:val="14"/>
                        <w:lang w:val="en-US"/>
                      </w:rPr>
                      <w:t>: www.rosenthal.ch</w:t>
                    </w:r>
                    <w:r>
                      <w:rPr>
                        <w:color w:val="7F7F7F" w:themeColor="text1" w:themeTint="80"/>
                        <w:sz w:val="14"/>
                        <w:szCs w:val="14"/>
                        <w:lang w:val="en-US"/>
                      </w:rPr>
                      <w:t>/downloads/VISCHER-TIA-USA-EO14086-CH</w:t>
                    </w:r>
                  </w:p>
                  <w:p w14:paraId="60AB98A6" w14:textId="6F24C303" w:rsidR="000F41D7" w:rsidRPr="000F41D7" w:rsidRDefault="000F41D7" w:rsidP="000F41D7">
                    <w:pPr>
                      <w:spacing w:before="0" w:after="0"/>
                      <w:jc w:val="center"/>
                      <w:rPr>
                        <w:color w:val="7F7F7F" w:themeColor="text1" w:themeTint="80"/>
                        <w:sz w:val="14"/>
                        <w:szCs w:val="14"/>
                        <w:lang w:val="en-US"/>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D6F9" w14:textId="69D5A168" w:rsidR="000F41D7" w:rsidRDefault="000F41D7">
    <w:pPr>
      <w:pStyle w:val="Fuzeile"/>
    </w:pPr>
    <w:r>
      <w:rPr>
        <w:noProof/>
        <w:sz w:val="14"/>
        <w:szCs w:val="14"/>
        <w:lang w:eastAsia="de-CH" w:bidi="he-IL"/>
      </w:rPr>
      <mc:AlternateContent>
        <mc:Choice Requires="wps">
          <w:drawing>
            <wp:anchor distT="0" distB="0" distL="114300" distR="114300" simplePos="0" relativeHeight="251657216" behindDoc="0" locked="0" layoutInCell="1" allowOverlap="1" wp14:anchorId="439DF9CF" wp14:editId="350F2295">
              <wp:simplePos x="0" y="0"/>
              <wp:positionH relativeFrom="column">
                <wp:posOffset>-1304925</wp:posOffset>
              </wp:positionH>
              <wp:positionV relativeFrom="paragraph">
                <wp:posOffset>104775</wp:posOffset>
              </wp:positionV>
              <wp:extent cx="6644640" cy="393700"/>
              <wp:effectExtent l="0" t="0" r="3810" b="6350"/>
              <wp:wrapNone/>
              <wp:docPr id="1" name="Textfeld 1"/>
              <wp:cNvGraphicFramePr/>
              <a:graphic xmlns:a="http://schemas.openxmlformats.org/drawingml/2006/main">
                <a:graphicData uri="http://schemas.microsoft.com/office/word/2010/wordprocessingShape">
                  <wps:wsp>
                    <wps:cNvSpPr txBox="1"/>
                    <wps:spPr>
                      <a:xfrm>
                        <a:off x="0" y="0"/>
                        <a:ext cx="6644640" cy="393700"/>
                      </a:xfrm>
                      <a:prstGeom prst="rect">
                        <a:avLst/>
                      </a:prstGeom>
                      <a:solidFill>
                        <a:schemeClr val="lt1"/>
                      </a:solidFill>
                      <a:ln w="6350">
                        <a:noFill/>
                      </a:ln>
                    </wps:spPr>
                    <wps:txbx>
                      <w:txbxContent>
                        <w:p w14:paraId="499164D2" w14:textId="480FCDFE" w:rsidR="000F41D7" w:rsidRPr="000F41D7" w:rsidRDefault="003E446F" w:rsidP="003E446F">
                          <w:pPr>
                            <w:spacing w:before="0" w:after="0" w:line="240" w:lineRule="auto"/>
                            <w:jc w:val="center"/>
                            <w:rPr>
                              <w:color w:val="7F7F7F" w:themeColor="text1" w:themeTint="80"/>
                              <w:sz w:val="14"/>
                              <w:szCs w:val="14"/>
                              <w:lang w:val="en-US"/>
                            </w:rPr>
                          </w:pPr>
                          <w:r w:rsidRPr="003E446F">
                            <w:rPr>
                              <w:color w:val="7F7F7F" w:themeColor="text1" w:themeTint="80"/>
                              <w:sz w:val="14"/>
                              <w:szCs w:val="14"/>
                            </w:rPr>
                            <w:t xml:space="preserve">Nur für Informationszwecke, kein Rechtsrat. </w:t>
                          </w:r>
                          <w:r w:rsidR="000F41D7" w:rsidRPr="000F41D7">
                            <w:rPr>
                              <w:color w:val="7F7F7F" w:themeColor="text1" w:themeTint="80"/>
                              <w:sz w:val="14"/>
                              <w:szCs w:val="14"/>
                              <w:lang w:val="en-US"/>
                            </w:rPr>
                            <w:t>This is for informational purposes only and no legal advice.</w:t>
                          </w:r>
                          <w:r>
                            <w:rPr>
                              <w:color w:val="7F7F7F" w:themeColor="text1" w:themeTint="80"/>
                              <w:sz w:val="14"/>
                              <w:szCs w:val="14"/>
                              <w:lang w:val="en-US"/>
                            </w:rPr>
                            <w:br/>
                          </w:r>
                          <w:r w:rsidR="000F41D7" w:rsidRPr="000F41D7">
                            <w:rPr>
                              <w:color w:val="7F7F7F" w:themeColor="text1" w:themeTint="80"/>
                              <w:sz w:val="14"/>
                              <w:szCs w:val="14"/>
                              <w:lang w:val="en-US"/>
                            </w:rPr>
                            <w:t xml:space="preserve">Author: David Rosenthal, </w:t>
                          </w:r>
                          <w:proofErr w:type="gramStart"/>
                          <w:r w:rsidRPr="003E446F">
                            <w:rPr>
                              <w:sz w:val="14"/>
                              <w:szCs w:val="14"/>
                              <w:lang w:val="en-US"/>
                            </w:rPr>
                            <w:t>david.rosenthal@vischer.com</w:t>
                          </w:r>
                          <w:r w:rsidR="000F41D7" w:rsidRPr="000F41D7">
                            <w:rPr>
                              <w:color w:val="7F7F7F" w:themeColor="text1" w:themeTint="80"/>
                              <w:sz w:val="14"/>
                              <w:szCs w:val="14"/>
                              <w:lang w:val="en-US"/>
                            </w:rPr>
                            <w:t xml:space="preserve">  Updates</w:t>
                          </w:r>
                          <w:proofErr w:type="gramEnd"/>
                          <w:r w:rsidR="000F41D7" w:rsidRPr="000F41D7">
                            <w:rPr>
                              <w:color w:val="7F7F7F" w:themeColor="text1" w:themeTint="80"/>
                              <w:sz w:val="14"/>
                              <w:szCs w:val="14"/>
                              <w:lang w:val="en-US"/>
                            </w:rPr>
                            <w:t>: www.rosenthal.ch</w:t>
                          </w:r>
                          <w:r>
                            <w:rPr>
                              <w:color w:val="7F7F7F" w:themeColor="text1" w:themeTint="80"/>
                              <w:sz w:val="14"/>
                              <w:szCs w:val="14"/>
                              <w:lang w:val="en-US"/>
                            </w:rPr>
                            <w:t>/downloads/VISCHER-TIA-USA-EO14086-CH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DF9CF" id="_x0000_t202" coordsize="21600,21600" o:spt="202" path="m,l,21600r21600,l21600,xe">
              <v:stroke joinstyle="miter"/>
              <v:path gradientshapeok="t" o:connecttype="rect"/>
            </v:shapetype>
            <v:shape id="Textfeld 1" o:spid="_x0000_s1027" type="#_x0000_t202" style="position:absolute;left:0;text-align:left;margin-left:-102.75pt;margin-top:8.25pt;width:523.2pt;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" fillcolor="white [3201]" stroked="f" strokeweight=".5pt">
              <v:textbox inset="0,0,0,0">
                <w:txbxContent>
                  <w:p w14:paraId="499164D2" w14:textId="480FCDFE" w:rsidR="000F41D7" w:rsidRPr="000F41D7" w:rsidRDefault="003E446F" w:rsidP="003E446F">
                    <w:pPr>
                      <w:spacing w:before="0" w:after="0" w:line="240" w:lineRule="auto"/>
                      <w:jc w:val="center"/>
                      <w:rPr>
                        <w:color w:val="7F7F7F" w:themeColor="text1" w:themeTint="80"/>
                        <w:sz w:val="14"/>
                        <w:szCs w:val="14"/>
                        <w:lang w:val="en-US"/>
                      </w:rPr>
                    </w:pPr>
                    <w:r w:rsidRPr="003E446F">
                      <w:rPr>
                        <w:color w:val="7F7F7F" w:themeColor="text1" w:themeTint="80"/>
                        <w:sz w:val="14"/>
                        <w:szCs w:val="14"/>
                      </w:rPr>
                      <w:t xml:space="preserve">Nur für Informationszwecke, kein Rechtsrat. </w:t>
                    </w:r>
                    <w:r w:rsidR="000F41D7" w:rsidRPr="000F41D7">
                      <w:rPr>
                        <w:color w:val="7F7F7F" w:themeColor="text1" w:themeTint="80"/>
                        <w:sz w:val="14"/>
                        <w:szCs w:val="14"/>
                        <w:lang w:val="en-US"/>
                      </w:rPr>
                      <w:t>This is for informational purposes only and no legal advice.</w:t>
                    </w:r>
                    <w:r>
                      <w:rPr>
                        <w:color w:val="7F7F7F" w:themeColor="text1" w:themeTint="80"/>
                        <w:sz w:val="14"/>
                        <w:szCs w:val="14"/>
                        <w:lang w:val="en-US"/>
                      </w:rPr>
                      <w:br/>
                    </w:r>
                    <w:r w:rsidR="000F41D7" w:rsidRPr="000F41D7">
                      <w:rPr>
                        <w:color w:val="7F7F7F" w:themeColor="text1" w:themeTint="80"/>
                        <w:sz w:val="14"/>
                        <w:szCs w:val="14"/>
                        <w:lang w:val="en-US"/>
                      </w:rPr>
                      <w:t xml:space="preserve">Author: David Rosenthal, </w:t>
                    </w:r>
                    <w:proofErr w:type="gramStart"/>
                    <w:r w:rsidRPr="003E446F">
                      <w:rPr>
                        <w:sz w:val="14"/>
                        <w:szCs w:val="14"/>
                        <w:lang w:val="en-US"/>
                      </w:rPr>
                      <w:t>david.rosenthal@vischer.com</w:t>
                    </w:r>
                    <w:r w:rsidR="000F41D7" w:rsidRPr="000F41D7">
                      <w:rPr>
                        <w:color w:val="7F7F7F" w:themeColor="text1" w:themeTint="80"/>
                        <w:sz w:val="14"/>
                        <w:szCs w:val="14"/>
                        <w:lang w:val="en-US"/>
                      </w:rPr>
                      <w:t xml:space="preserve">  Updates</w:t>
                    </w:r>
                    <w:proofErr w:type="gramEnd"/>
                    <w:r w:rsidR="000F41D7" w:rsidRPr="000F41D7">
                      <w:rPr>
                        <w:color w:val="7F7F7F" w:themeColor="text1" w:themeTint="80"/>
                        <w:sz w:val="14"/>
                        <w:szCs w:val="14"/>
                        <w:lang w:val="en-US"/>
                      </w:rPr>
                      <w:t>: www.rosenthal.ch</w:t>
                    </w:r>
                    <w:r>
                      <w:rPr>
                        <w:color w:val="7F7F7F" w:themeColor="text1" w:themeTint="80"/>
                        <w:sz w:val="14"/>
                        <w:szCs w:val="14"/>
                        <w:lang w:val="en-US"/>
                      </w:rPr>
                      <w:t>/downloads/VISCHER-TIA-USA-EO14086-CH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4CEA9" w14:textId="77777777" w:rsidR="0015664F" w:rsidRDefault="0015664F">
      <w:r>
        <w:separator/>
      </w:r>
    </w:p>
  </w:footnote>
  <w:footnote w:type="continuationSeparator" w:id="0">
    <w:p w14:paraId="35C93631" w14:textId="77777777" w:rsidR="0015664F" w:rsidRDefault="0015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C9CC" w14:textId="02E95CFF" w:rsidR="007A7A17" w:rsidRPr="008D52BC" w:rsidRDefault="00280634">
    <w:pPr>
      <w:pStyle w:val="Kopfzeile"/>
      <w:rPr>
        <w:sz w:val="14"/>
        <w:lang w:val="en-US"/>
      </w:rPr>
    </w:pPr>
    <w:r w:rsidRPr="008D52BC">
      <w:rPr>
        <w:rFonts w:ascii="Times New Roman" w:hAnsi="Times New Roman"/>
        <w:noProof/>
        <w:sz w:val="24"/>
        <w:szCs w:val="24"/>
        <w:lang w:val="en-US" w:eastAsia="de-CH" w:bidi="he-IL"/>
      </w:rPr>
      <w:drawing>
        <wp:anchor distT="0" distB="0" distL="114300" distR="114300" simplePos="0" relativeHeight="251664896" behindDoc="0" locked="0" layoutInCell="1" allowOverlap="1" wp14:anchorId="305188E4" wp14:editId="7AF9F978">
          <wp:simplePos x="0" y="0"/>
          <wp:positionH relativeFrom="column">
            <wp:posOffset>-1553845</wp:posOffset>
          </wp:positionH>
          <wp:positionV relativeFrom="paragraph">
            <wp:posOffset>359410</wp:posOffset>
          </wp:positionV>
          <wp:extent cx="469900" cy="71755"/>
          <wp:effectExtent l="0" t="0" r="6350" b="4445"/>
          <wp:wrapNone/>
          <wp:docPr id="2" name="Grafik 2" descr="VISCHER_51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CHER_51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71755"/>
                  </a:xfrm>
                  <a:prstGeom prst="rect">
                    <a:avLst/>
                  </a:prstGeom>
                  <a:noFill/>
                </pic:spPr>
              </pic:pic>
            </a:graphicData>
          </a:graphic>
          <wp14:sizeRelH relativeFrom="page">
            <wp14:pctWidth>0</wp14:pctWidth>
          </wp14:sizeRelH>
          <wp14:sizeRelV relativeFrom="page">
            <wp14:pctHeight>0</wp14:pctHeight>
          </wp14:sizeRelV>
        </wp:anchor>
      </w:drawing>
    </w:r>
    <w:r w:rsidR="000A1B46">
      <w:rPr>
        <w:sz w:val="14"/>
        <w:lang w:val="en-US"/>
      </w:rPr>
      <w:t>August 15, 2024</w:t>
    </w:r>
    <w:r w:rsidR="007A7A17" w:rsidRPr="008D52BC">
      <w:rPr>
        <w:sz w:val="14"/>
        <w:lang w:val="en-US"/>
      </w:rPr>
      <w:tab/>
    </w:r>
    <w:r w:rsidR="007A7A17" w:rsidRPr="008D52BC">
      <w:rPr>
        <w:sz w:val="14"/>
        <w:lang w:val="en-US"/>
      </w:rPr>
      <w:fldChar w:fldCharType="begin"/>
    </w:r>
    <w:r w:rsidR="007A7A17" w:rsidRPr="008D52BC">
      <w:rPr>
        <w:sz w:val="14"/>
        <w:lang w:val="en-US"/>
      </w:rPr>
      <w:instrText xml:space="preserve"> PAGE  \* MERGEFORMAT </w:instrText>
    </w:r>
    <w:r w:rsidR="007A7A17" w:rsidRPr="008D52BC">
      <w:rPr>
        <w:sz w:val="14"/>
        <w:lang w:val="en-US"/>
      </w:rPr>
      <w:fldChar w:fldCharType="separate"/>
    </w:r>
    <w:r w:rsidR="00040B54" w:rsidRPr="008D52BC">
      <w:rPr>
        <w:noProof/>
        <w:sz w:val="14"/>
        <w:lang w:val="en-US"/>
      </w:rPr>
      <w:t>2</w:t>
    </w:r>
    <w:r w:rsidR="007A7A17" w:rsidRPr="008D52BC">
      <w:rPr>
        <w:sz w:val="14"/>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5150" w14:textId="36CC731B" w:rsidR="009D3427" w:rsidRPr="008D52BC" w:rsidRDefault="0097352E">
    <w:pPr>
      <w:pStyle w:val="Kopfzeile"/>
      <w:rPr>
        <w:sz w:val="14"/>
        <w:szCs w:val="14"/>
        <w:lang w:val="en-US"/>
      </w:rPr>
    </w:pPr>
    <w:r w:rsidRPr="008D52BC">
      <w:rPr>
        <w:noProof/>
        <w:sz w:val="14"/>
        <w:szCs w:val="14"/>
        <w:lang w:val="en-US" w:eastAsia="de-CH" w:bidi="he-IL"/>
      </w:rPr>
      <w:drawing>
        <wp:anchor distT="0" distB="0" distL="114300" distR="114300" simplePos="0" relativeHeight="251656192" behindDoc="0" locked="0" layoutInCell="1" allowOverlap="1" wp14:anchorId="0D8401B6" wp14:editId="5AF3B77B">
          <wp:simplePos x="0" y="0"/>
          <wp:positionH relativeFrom="column">
            <wp:posOffset>-1581150</wp:posOffset>
          </wp:positionH>
          <wp:positionV relativeFrom="paragraph">
            <wp:posOffset>328930</wp:posOffset>
          </wp:positionV>
          <wp:extent cx="1368000" cy="252000"/>
          <wp:effectExtent l="0" t="0" r="381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CHER_51mm_100S___X8_1mm.emf"/>
                  <pic:cNvPicPr/>
                </pic:nvPicPr>
                <pic:blipFill>
                  <a:blip r:embed="rId1">
                    <a:extLst>
                      <a:ext uri="{28A0092B-C50C-407E-A947-70E740481C1C}">
                        <a14:useLocalDpi xmlns:a14="http://schemas.microsoft.com/office/drawing/2010/main" val="0"/>
                      </a:ext>
                    </a:extLst>
                  </a:blip>
                  <a:stretch>
                    <a:fillRect/>
                  </a:stretch>
                </pic:blipFill>
                <pic:spPr>
                  <a:xfrm>
                    <a:off x="0" y="0"/>
                    <a:ext cx="1368000" cy="252000"/>
                  </a:xfrm>
                  <a:prstGeom prst="rect">
                    <a:avLst/>
                  </a:prstGeom>
                </pic:spPr>
              </pic:pic>
            </a:graphicData>
          </a:graphic>
          <wp14:sizeRelH relativeFrom="margin">
            <wp14:pctWidth>0</wp14:pctWidth>
          </wp14:sizeRelH>
          <wp14:sizeRelV relativeFrom="margin">
            <wp14:pctHeight>0</wp14:pctHeight>
          </wp14:sizeRelV>
        </wp:anchor>
      </w:drawing>
    </w:r>
    <w:r w:rsidR="009D3427" w:rsidRPr="008D52BC">
      <w:rPr>
        <w:sz w:val="14"/>
        <w:szCs w:val="14"/>
        <w:lang w:val="en-US"/>
      </w:rPr>
      <w:t xml:space="preserve">Template / </w:t>
    </w:r>
    <w:r w:rsidR="007E26F6">
      <w:rPr>
        <w:sz w:val="14"/>
        <w:szCs w:val="14"/>
        <w:lang w:val="en-US"/>
      </w:rPr>
      <w:t>August 15</w:t>
    </w:r>
    <w:r w:rsidR="008D52BC" w:rsidRPr="008D52BC">
      <w:rPr>
        <w:sz w:val="14"/>
        <w:szCs w:val="14"/>
        <w:lang w:val="en-US"/>
      </w:rPr>
      <w:t>, 202</w:t>
    </w:r>
    <w:r w:rsidR="007E26F6">
      <w:rPr>
        <w:sz w:val="14"/>
        <w:szCs w:val="14"/>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2749"/>
    <w:multiLevelType w:val="singleLevel"/>
    <w:tmpl w:val="58029868"/>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787ED5F2"/>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FAEE187A"/>
    <w:lvl w:ilvl="0">
      <w:start w:val="1"/>
      <w:numFmt w:val="decimal"/>
      <w:pStyle w:val="Randziffern"/>
      <w:lvlText w:val="%1"/>
      <w:lvlJc w:val="left"/>
      <w:pPr>
        <w:tabs>
          <w:tab w:val="num" w:pos="851"/>
        </w:tabs>
        <w:ind w:left="851" w:hanging="851"/>
      </w:pPr>
      <w:rPr>
        <w:rFonts w:ascii="Verdana" w:hAnsi="Verdana" w:hint="default"/>
        <w:b w:val="0"/>
        <w:i w:val="0"/>
        <w:sz w:val="20"/>
      </w:rPr>
    </w:lvl>
  </w:abstractNum>
  <w:abstractNum w:abstractNumId="3" w15:restartNumberingAfterBreak="0">
    <w:nsid w:val="2C823FEB"/>
    <w:multiLevelType w:val="hybridMultilevel"/>
    <w:tmpl w:val="6520E13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64A2FDB8"/>
    <w:lvl w:ilvl="0">
      <w:start w:val="1"/>
      <w:numFmt w:val="upperRoman"/>
      <w:pStyle w:val="berschrift1"/>
      <w:lvlText w:val="%1."/>
      <w:lvlJc w:val="left"/>
      <w:pPr>
        <w:tabs>
          <w:tab w:val="num" w:pos="851"/>
        </w:tabs>
        <w:ind w:left="851" w:hanging="851"/>
      </w:pPr>
      <w:rPr>
        <w:rFonts w:ascii="Verdana" w:hAnsi="Verdana" w:hint="default"/>
        <w:b/>
        <w:i w:val="0"/>
        <w:caps/>
        <w:sz w:val="20"/>
      </w:rPr>
    </w:lvl>
    <w:lvl w:ilvl="1">
      <w:start w:val="1"/>
      <w:numFmt w:val="upperLetter"/>
      <w:pStyle w:val="berschrift2"/>
      <w:lvlText w:val="%2."/>
      <w:lvlJc w:val="left"/>
      <w:pPr>
        <w:tabs>
          <w:tab w:val="num" w:pos="851"/>
        </w:tabs>
        <w:ind w:left="851" w:hanging="851"/>
      </w:pPr>
      <w:rPr>
        <w:rFonts w:ascii="Verdana" w:hAnsi="Verdana" w:hint="default"/>
        <w:b/>
        <w:i w:val="0"/>
        <w:sz w:val="20"/>
      </w:rPr>
    </w:lvl>
    <w:lvl w:ilvl="2">
      <w:start w:val="1"/>
      <w:numFmt w:val="decimal"/>
      <w:pStyle w:val="berschrift3"/>
      <w:lvlText w:val="%3."/>
      <w:lvlJc w:val="left"/>
      <w:pPr>
        <w:tabs>
          <w:tab w:val="num" w:pos="851"/>
        </w:tabs>
        <w:ind w:left="851" w:hanging="851"/>
      </w:pPr>
      <w:rPr>
        <w:rFonts w:ascii="Verdana" w:hAnsi="Verdana" w:hint="default"/>
        <w:b w:val="0"/>
        <w:i w:val="0"/>
        <w:sz w:val="20"/>
      </w:rPr>
    </w:lvl>
    <w:lvl w:ilvl="3">
      <w:start w:val="1"/>
      <w:numFmt w:val="lowerLetter"/>
      <w:pStyle w:val="berschrift4"/>
      <w:lvlText w:val="%4)"/>
      <w:lvlJc w:val="left"/>
      <w:pPr>
        <w:tabs>
          <w:tab w:val="num" w:pos="851"/>
        </w:tabs>
        <w:ind w:left="851" w:hanging="851"/>
      </w:pPr>
      <w:rPr>
        <w:rFonts w:ascii="Verdana" w:hAnsi="Verdana" w:hint="default"/>
        <w:b w:val="0"/>
        <w:i w:val="0"/>
        <w:sz w:val="20"/>
      </w:rPr>
    </w:lvl>
    <w:lvl w:ilvl="4">
      <w:start w:val="1"/>
      <w:numFmt w:val="lowerRoman"/>
      <w:pStyle w:val="berschrift5"/>
      <w:lvlText w:val="(%5)"/>
      <w:lvlJc w:val="left"/>
      <w:pPr>
        <w:tabs>
          <w:tab w:val="num" w:pos="851"/>
        </w:tabs>
        <w:ind w:left="851" w:hanging="851"/>
      </w:pPr>
      <w:rPr>
        <w:rFonts w:ascii="Verdana" w:hAnsi="Verdana"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hint="default"/>
        <w:b/>
        <w:i w:val="0"/>
        <w:caps/>
        <w:sz w:val="20"/>
      </w:rPr>
    </w:lvl>
    <w:lvl w:ilvl="6">
      <w:start w:val="1"/>
      <w:numFmt w:val="decimal"/>
      <w:pStyle w:val="berschrift7"/>
      <w:lvlText w:val="%6.%7"/>
      <w:lvlJc w:val="left"/>
      <w:pPr>
        <w:tabs>
          <w:tab w:val="num" w:pos="851"/>
        </w:tabs>
        <w:ind w:left="851" w:hanging="851"/>
      </w:pPr>
      <w:rPr>
        <w:rFonts w:ascii="Verdana" w:hAnsi="Verdana" w:hint="default"/>
        <w:b w:val="0"/>
        <w:i w:val="0"/>
        <w:sz w:val="20"/>
      </w:rPr>
    </w:lvl>
    <w:lvl w:ilvl="7">
      <w:start w:val="1"/>
      <w:numFmt w:val="decimal"/>
      <w:pStyle w:val="berschrift8"/>
      <w:lvlText w:val="%6.%7.%8"/>
      <w:lvlJc w:val="left"/>
      <w:pPr>
        <w:tabs>
          <w:tab w:val="num" w:pos="851"/>
        </w:tabs>
        <w:ind w:left="851" w:hanging="851"/>
      </w:pPr>
      <w:rPr>
        <w:rFonts w:ascii="Verdana" w:hAnsi="Verdana" w:hint="default"/>
        <w:b w:val="0"/>
        <w:i w:val="0"/>
        <w:sz w:val="20"/>
      </w:rPr>
    </w:lvl>
    <w:lvl w:ilvl="8">
      <w:start w:val="1"/>
      <w:numFmt w:val="lowerLetter"/>
      <w:pStyle w:val="Buchstabiert1"/>
      <w:lvlText w:val="%9)"/>
      <w:lvlJc w:val="left"/>
      <w:pPr>
        <w:tabs>
          <w:tab w:val="num" w:pos="1418"/>
        </w:tabs>
        <w:ind w:left="1418" w:hanging="567"/>
      </w:pPr>
      <w:rPr>
        <w:rFonts w:ascii="Verdana" w:hAnsi="Verdana" w:hint="default"/>
        <w:b w:val="0"/>
        <w:i w:val="0"/>
        <w:sz w:val="20"/>
      </w:rPr>
    </w:lvl>
  </w:abstractNum>
  <w:abstractNum w:abstractNumId="5" w15:restartNumberingAfterBreak="0">
    <w:nsid w:val="40AD7259"/>
    <w:multiLevelType w:val="hybridMultilevel"/>
    <w:tmpl w:val="DE6446BC"/>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E143AC"/>
    <w:multiLevelType w:val="multilevel"/>
    <w:tmpl w:val="98FC6894"/>
    <w:lvl w:ilvl="0">
      <w:start w:val="1"/>
      <w:numFmt w:val="upperRoman"/>
      <w:suff w:val="space"/>
      <w:lvlText w:val="%1."/>
      <w:lvlJc w:val="left"/>
      <w:pPr>
        <w:ind w:left="709" w:hanging="851"/>
      </w:pPr>
      <w:rPr>
        <w:rFonts w:ascii="Verdana" w:hAnsi="Verdana" w:hint="default"/>
        <w:b/>
        <w:i w:val="0"/>
        <w:color w:val="auto"/>
        <w:spacing w:val="4"/>
        <w:position w:val="0"/>
        <w:sz w:val="19"/>
        <w:u w:val="none"/>
      </w:rPr>
    </w:lvl>
    <w:lvl w:ilvl="1">
      <w:start w:val="1"/>
      <w:numFmt w:val="upperLetter"/>
      <w:suff w:val="space"/>
      <w:lvlText w:val="%2."/>
      <w:lvlJc w:val="left"/>
      <w:pPr>
        <w:ind w:left="709" w:hanging="851"/>
      </w:pPr>
      <w:rPr>
        <w:rFonts w:ascii="Verdana" w:hAnsi="Verdana" w:hint="default"/>
        <w:b/>
        <w:i w:val="0"/>
        <w:spacing w:val="4"/>
        <w:sz w:val="19"/>
      </w:rPr>
    </w:lvl>
    <w:lvl w:ilvl="2">
      <w:start w:val="1"/>
      <w:numFmt w:val="decimal"/>
      <w:suff w:val="space"/>
      <w:lvlText w:val="%3."/>
      <w:lvlJc w:val="left"/>
      <w:pPr>
        <w:ind w:left="709" w:hanging="851"/>
      </w:pPr>
      <w:rPr>
        <w:rFonts w:ascii="Verdana" w:hAnsi="Verdana" w:hint="default"/>
        <w:b w:val="0"/>
        <w:i w:val="0"/>
        <w:color w:val="auto"/>
        <w:sz w:val="19"/>
        <w:u w:val="none"/>
      </w:rPr>
    </w:lvl>
    <w:lvl w:ilvl="3">
      <w:start w:val="1"/>
      <w:numFmt w:val="decimal"/>
      <w:suff w:val="space"/>
      <w:lvlText w:val="%3.%4."/>
      <w:lvlJc w:val="left"/>
      <w:pPr>
        <w:ind w:left="709" w:hanging="851"/>
      </w:pPr>
      <w:rPr>
        <w:rFonts w:ascii="Verdana" w:hAnsi="Verdana" w:hint="default"/>
        <w:b w:val="0"/>
        <w:i w:val="0"/>
        <w:color w:val="auto"/>
        <w:sz w:val="19"/>
        <w:u w:val="none"/>
      </w:rPr>
    </w:lvl>
    <w:lvl w:ilvl="4">
      <w:start w:val="1"/>
      <w:numFmt w:val="decimal"/>
      <w:suff w:val="space"/>
      <w:lvlText w:val="%3.%4.%5."/>
      <w:lvlJc w:val="left"/>
      <w:pPr>
        <w:ind w:left="709" w:hanging="851"/>
      </w:pPr>
      <w:rPr>
        <w:rFonts w:ascii="Verdana" w:hAnsi="Verdana" w:hint="default"/>
        <w:b w:val="0"/>
        <w:i w:val="0"/>
        <w:sz w:val="19"/>
      </w:rPr>
    </w:lvl>
    <w:lvl w:ilvl="5">
      <w:start w:val="1"/>
      <w:numFmt w:val="lowerLetter"/>
      <w:suff w:val="space"/>
      <w:lvlText w:val="%6)"/>
      <w:lvlJc w:val="left"/>
      <w:pPr>
        <w:ind w:left="709" w:hanging="851"/>
      </w:pPr>
      <w:rPr>
        <w:rFonts w:ascii="Verdana" w:hAnsi="Verdana" w:hint="default"/>
        <w:sz w:val="19"/>
      </w:rPr>
    </w:lvl>
    <w:lvl w:ilvl="6">
      <w:start w:val="1"/>
      <w:numFmt w:val="lowerRoman"/>
      <w:suff w:val="space"/>
      <w:lvlText w:val="(%7)"/>
      <w:lvlJc w:val="left"/>
      <w:pPr>
        <w:ind w:left="709" w:hanging="851"/>
      </w:pPr>
      <w:rPr>
        <w:rFonts w:hint="default"/>
      </w:rPr>
    </w:lvl>
    <w:lvl w:ilvl="7">
      <w:start w:val="1"/>
      <w:numFmt w:val="lowerLetter"/>
      <w:lvlText w:val="%8)"/>
      <w:lvlJc w:val="left"/>
      <w:pPr>
        <w:tabs>
          <w:tab w:val="num" w:pos="1276"/>
        </w:tabs>
        <w:ind w:left="1276" w:hanging="567"/>
      </w:pPr>
      <w:rPr>
        <w:rFonts w:ascii="Verdana" w:hAnsi="Verdana" w:hint="default"/>
        <w:sz w:val="20"/>
      </w:rPr>
    </w:lvl>
    <w:lvl w:ilvl="8">
      <w:start w:val="1"/>
      <w:numFmt w:val="lowerLetter"/>
      <w:lvlText w:val="%9)"/>
      <w:lvlJc w:val="left"/>
      <w:pPr>
        <w:tabs>
          <w:tab w:val="num" w:pos="785"/>
        </w:tabs>
        <w:ind w:left="-142" w:firstLine="567"/>
      </w:pPr>
      <w:rPr>
        <w:rFonts w:hint="default"/>
      </w:rPr>
    </w:lvl>
  </w:abstractNum>
  <w:num w:numId="1" w16cid:durableId="503933950">
    <w:abstractNumId w:val="6"/>
  </w:num>
  <w:num w:numId="2" w16cid:durableId="1319573298">
    <w:abstractNumId w:val="0"/>
  </w:num>
  <w:num w:numId="3" w16cid:durableId="2133286951">
    <w:abstractNumId w:val="1"/>
  </w:num>
  <w:num w:numId="4" w16cid:durableId="1011637800">
    <w:abstractNumId w:val="3"/>
  </w:num>
  <w:num w:numId="5" w16cid:durableId="86116512">
    <w:abstractNumId w:val="5"/>
  </w:num>
  <w:num w:numId="6" w16cid:durableId="1054113104">
    <w:abstractNumId w:val="2"/>
  </w:num>
  <w:num w:numId="7" w16cid:durableId="264075968">
    <w:abstractNumId w:val="4"/>
  </w:num>
  <w:num w:numId="8" w16cid:durableId="864948469">
    <w:abstractNumId w:val="4"/>
  </w:num>
  <w:num w:numId="9" w16cid:durableId="2003657650">
    <w:abstractNumId w:val="4"/>
  </w:num>
  <w:num w:numId="10" w16cid:durableId="326907090">
    <w:abstractNumId w:val="4"/>
  </w:num>
  <w:num w:numId="11" w16cid:durableId="1817600374">
    <w:abstractNumId w:val="4"/>
  </w:num>
  <w:num w:numId="12" w16cid:durableId="768233549">
    <w:abstractNumId w:val="4"/>
  </w:num>
  <w:num w:numId="13" w16cid:durableId="2071802554">
    <w:abstractNumId w:val="4"/>
  </w:num>
  <w:num w:numId="14" w16cid:durableId="731536947">
    <w:abstractNumId w:val="4"/>
  </w:num>
  <w:num w:numId="15" w16cid:durableId="928344249">
    <w:abstractNumId w:val="4"/>
  </w:num>
  <w:num w:numId="16" w16cid:durableId="2003240491">
    <w:abstractNumId w:val="4"/>
  </w:num>
  <w:num w:numId="17" w16cid:durableId="1431046475">
    <w:abstractNumId w:val="4"/>
  </w:num>
  <w:num w:numId="18" w16cid:durableId="2001806878">
    <w:abstractNumId w:val="4"/>
  </w:num>
  <w:num w:numId="19" w16cid:durableId="210074710">
    <w:abstractNumId w:val="4"/>
  </w:num>
  <w:num w:numId="20" w16cid:durableId="1467162611">
    <w:abstractNumId w:val="4"/>
  </w:num>
  <w:num w:numId="21" w16cid:durableId="960068594">
    <w:abstractNumId w:val="4"/>
  </w:num>
  <w:num w:numId="22" w16cid:durableId="1853449362">
    <w:abstractNumId w:val="4"/>
  </w:num>
  <w:num w:numId="23" w16cid:durableId="1780680923">
    <w:abstractNumId w:val="4"/>
  </w:num>
  <w:num w:numId="24" w16cid:durableId="710111752">
    <w:abstractNumId w:val="4"/>
  </w:num>
  <w:num w:numId="25" w16cid:durableId="1184250186">
    <w:abstractNumId w:val="4"/>
  </w:num>
  <w:num w:numId="26" w16cid:durableId="1811365998">
    <w:abstractNumId w:val="4"/>
  </w:num>
  <w:num w:numId="27" w16cid:durableId="1508401094">
    <w:abstractNumId w:val="4"/>
  </w:num>
  <w:num w:numId="28" w16cid:durableId="642004539">
    <w:abstractNumId w:val="4"/>
  </w:num>
  <w:num w:numId="29" w16cid:durableId="34090080">
    <w:abstractNumId w:val="4"/>
  </w:num>
  <w:num w:numId="30" w16cid:durableId="763188494">
    <w:abstractNumId w:val="4"/>
  </w:num>
  <w:num w:numId="31" w16cid:durableId="1811511459">
    <w:abstractNumId w:val="4"/>
  </w:num>
  <w:num w:numId="32" w16cid:durableId="442380724">
    <w:abstractNumId w:val="4"/>
  </w:num>
  <w:num w:numId="33" w16cid:durableId="1443919953">
    <w:abstractNumId w:val="4"/>
  </w:num>
  <w:num w:numId="34" w16cid:durableId="584925513">
    <w:abstractNumId w:val="2"/>
  </w:num>
  <w:num w:numId="35" w16cid:durableId="1179153356">
    <w:abstractNumId w:val="2"/>
    <w:lvlOverride w:ilvl="0">
      <w:startOverride w:val="1"/>
    </w:lvlOverride>
  </w:num>
  <w:num w:numId="36" w16cid:durableId="193465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111094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B54"/>
    <w:rsid w:val="00007368"/>
    <w:rsid w:val="0001298F"/>
    <w:rsid w:val="00027516"/>
    <w:rsid w:val="00037032"/>
    <w:rsid w:val="00037E35"/>
    <w:rsid w:val="00040B54"/>
    <w:rsid w:val="0006256A"/>
    <w:rsid w:val="0007422D"/>
    <w:rsid w:val="0009788B"/>
    <w:rsid w:val="000A1B46"/>
    <w:rsid w:val="000C0F5F"/>
    <w:rsid w:val="000F41D7"/>
    <w:rsid w:val="000F4395"/>
    <w:rsid w:val="00111D0A"/>
    <w:rsid w:val="00113280"/>
    <w:rsid w:val="00114D81"/>
    <w:rsid w:val="00115DE5"/>
    <w:rsid w:val="00130F45"/>
    <w:rsid w:val="0015664F"/>
    <w:rsid w:val="001626CD"/>
    <w:rsid w:val="001666A9"/>
    <w:rsid w:val="00176612"/>
    <w:rsid w:val="0019255A"/>
    <w:rsid w:val="001B12AC"/>
    <w:rsid w:val="001C0E4B"/>
    <w:rsid w:val="001E2ECD"/>
    <w:rsid w:val="00260E8B"/>
    <w:rsid w:val="00280634"/>
    <w:rsid w:val="002A41B7"/>
    <w:rsid w:val="002B4D1B"/>
    <w:rsid w:val="002B5788"/>
    <w:rsid w:val="002C2EF5"/>
    <w:rsid w:val="002D292B"/>
    <w:rsid w:val="0031009C"/>
    <w:rsid w:val="003410C7"/>
    <w:rsid w:val="00361C81"/>
    <w:rsid w:val="003667D0"/>
    <w:rsid w:val="00366AB8"/>
    <w:rsid w:val="003852E9"/>
    <w:rsid w:val="003A262E"/>
    <w:rsid w:val="003A3DA8"/>
    <w:rsid w:val="003A515A"/>
    <w:rsid w:val="003B13D6"/>
    <w:rsid w:val="003E446F"/>
    <w:rsid w:val="00402F2D"/>
    <w:rsid w:val="00453D99"/>
    <w:rsid w:val="00464556"/>
    <w:rsid w:val="0048291B"/>
    <w:rsid w:val="00487BAD"/>
    <w:rsid w:val="00491C0C"/>
    <w:rsid w:val="004C1126"/>
    <w:rsid w:val="004C31D4"/>
    <w:rsid w:val="004D2D9E"/>
    <w:rsid w:val="004D3150"/>
    <w:rsid w:val="004D4DD3"/>
    <w:rsid w:val="004D5A44"/>
    <w:rsid w:val="004E249C"/>
    <w:rsid w:val="0054295D"/>
    <w:rsid w:val="00556DE4"/>
    <w:rsid w:val="0059089E"/>
    <w:rsid w:val="005923AC"/>
    <w:rsid w:val="005A4DEA"/>
    <w:rsid w:val="005B0B1F"/>
    <w:rsid w:val="005B2011"/>
    <w:rsid w:val="005E0C3F"/>
    <w:rsid w:val="006339CD"/>
    <w:rsid w:val="006433AF"/>
    <w:rsid w:val="006442F9"/>
    <w:rsid w:val="00644695"/>
    <w:rsid w:val="00680A89"/>
    <w:rsid w:val="00681F03"/>
    <w:rsid w:val="00691A09"/>
    <w:rsid w:val="006B4D60"/>
    <w:rsid w:val="006D57BA"/>
    <w:rsid w:val="006D7AE1"/>
    <w:rsid w:val="006E21E6"/>
    <w:rsid w:val="00705791"/>
    <w:rsid w:val="007070EF"/>
    <w:rsid w:val="007162DB"/>
    <w:rsid w:val="007279E3"/>
    <w:rsid w:val="007347C2"/>
    <w:rsid w:val="0075443B"/>
    <w:rsid w:val="00773955"/>
    <w:rsid w:val="00774DE8"/>
    <w:rsid w:val="00774E2B"/>
    <w:rsid w:val="00775C3C"/>
    <w:rsid w:val="00782EDD"/>
    <w:rsid w:val="007A5008"/>
    <w:rsid w:val="007A7A17"/>
    <w:rsid w:val="007C0AD3"/>
    <w:rsid w:val="007C330C"/>
    <w:rsid w:val="007C6679"/>
    <w:rsid w:val="007D0EB0"/>
    <w:rsid w:val="007E26F6"/>
    <w:rsid w:val="007F28F7"/>
    <w:rsid w:val="007F7E63"/>
    <w:rsid w:val="0080140A"/>
    <w:rsid w:val="0080410E"/>
    <w:rsid w:val="0080692D"/>
    <w:rsid w:val="00834EA9"/>
    <w:rsid w:val="00847072"/>
    <w:rsid w:val="00856286"/>
    <w:rsid w:val="008A2C63"/>
    <w:rsid w:val="008A46A3"/>
    <w:rsid w:val="008B2EDE"/>
    <w:rsid w:val="008B3E5E"/>
    <w:rsid w:val="008D52BC"/>
    <w:rsid w:val="009143AC"/>
    <w:rsid w:val="00932550"/>
    <w:rsid w:val="00941F46"/>
    <w:rsid w:val="00953470"/>
    <w:rsid w:val="0096216B"/>
    <w:rsid w:val="0097352E"/>
    <w:rsid w:val="009866CF"/>
    <w:rsid w:val="00987289"/>
    <w:rsid w:val="009A19CE"/>
    <w:rsid w:val="009A3BF8"/>
    <w:rsid w:val="009A6EC4"/>
    <w:rsid w:val="009B61FC"/>
    <w:rsid w:val="009D3427"/>
    <w:rsid w:val="009D66D2"/>
    <w:rsid w:val="009D790D"/>
    <w:rsid w:val="009F593C"/>
    <w:rsid w:val="009F6FC6"/>
    <w:rsid w:val="00A10119"/>
    <w:rsid w:val="00A25F1B"/>
    <w:rsid w:val="00A30192"/>
    <w:rsid w:val="00A52681"/>
    <w:rsid w:val="00A6694E"/>
    <w:rsid w:val="00A677E5"/>
    <w:rsid w:val="00A81A18"/>
    <w:rsid w:val="00A96F7D"/>
    <w:rsid w:val="00AC1F46"/>
    <w:rsid w:val="00AD1C11"/>
    <w:rsid w:val="00AD2873"/>
    <w:rsid w:val="00AF4856"/>
    <w:rsid w:val="00B016BC"/>
    <w:rsid w:val="00B315F1"/>
    <w:rsid w:val="00B450A4"/>
    <w:rsid w:val="00B46ABE"/>
    <w:rsid w:val="00B54A14"/>
    <w:rsid w:val="00B64F9E"/>
    <w:rsid w:val="00B83426"/>
    <w:rsid w:val="00BA2982"/>
    <w:rsid w:val="00BD25C4"/>
    <w:rsid w:val="00BD5BF0"/>
    <w:rsid w:val="00C63F50"/>
    <w:rsid w:val="00CC5C83"/>
    <w:rsid w:val="00CD1FCA"/>
    <w:rsid w:val="00CD4613"/>
    <w:rsid w:val="00CE66A1"/>
    <w:rsid w:val="00CF2354"/>
    <w:rsid w:val="00D009FE"/>
    <w:rsid w:val="00D066A0"/>
    <w:rsid w:val="00D42FD1"/>
    <w:rsid w:val="00D55299"/>
    <w:rsid w:val="00D56FD4"/>
    <w:rsid w:val="00D9698C"/>
    <w:rsid w:val="00DD1409"/>
    <w:rsid w:val="00E33D51"/>
    <w:rsid w:val="00E51E7C"/>
    <w:rsid w:val="00E61F44"/>
    <w:rsid w:val="00E716E5"/>
    <w:rsid w:val="00E82C57"/>
    <w:rsid w:val="00E96F29"/>
    <w:rsid w:val="00EA1CD2"/>
    <w:rsid w:val="00EA2B7C"/>
    <w:rsid w:val="00EB4C58"/>
    <w:rsid w:val="00EC54F8"/>
    <w:rsid w:val="00ED16CB"/>
    <w:rsid w:val="00EE4AD4"/>
    <w:rsid w:val="00EF3314"/>
    <w:rsid w:val="00F01BB2"/>
    <w:rsid w:val="00F375AB"/>
    <w:rsid w:val="00F503EC"/>
    <w:rsid w:val="00F6241E"/>
    <w:rsid w:val="00F63F71"/>
    <w:rsid w:val="00F70690"/>
    <w:rsid w:val="00F769EA"/>
    <w:rsid w:val="00F97FBE"/>
    <w:rsid w:val="00FB7D8F"/>
    <w:rsid w:val="00FC2CCC"/>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9B3E3"/>
  <w15:docId w15:val="{72495894-8D70-4D2B-892D-354B8473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pPr>
      <w:tabs>
        <w:tab w:val="left" w:pos="0"/>
        <w:tab w:val="left" w:pos="851"/>
        <w:tab w:val="left" w:pos="1418"/>
        <w:tab w:val="left" w:pos="1985"/>
        <w:tab w:val="left" w:pos="2552"/>
        <w:tab w:val="left" w:pos="3119"/>
      </w:tabs>
      <w:spacing w:before="120" w:after="120" w:line="290" w:lineRule="atLeast"/>
      <w:jc w:val="both"/>
    </w:pPr>
    <w:rPr>
      <w:rFonts w:ascii="Verdana" w:hAnsi="Verdana"/>
      <w:lang w:eastAsia="de-DE"/>
    </w:rPr>
  </w:style>
  <w:style w:type="paragraph" w:styleId="berschrift1">
    <w:name w:val="heading 1"/>
    <w:basedOn w:val="Normal0"/>
    <w:next w:val="Normal0"/>
    <w:link w:val="berschrift1Zchn"/>
    <w:qFormat/>
    <w:pPr>
      <w:keepNext/>
      <w:numPr>
        <w:numId w:val="32"/>
      </w:numPr>
      <w:spacing w:before="360"/>
      <w:jc w:val="left"/>
      <w:outlineLvl w:val="0"/>
    </w:pPr>
    <w:rPr>
      <w:b/>
      <w:caps/>
      <w:kern w:val="28"/>
    </w:rPr>
  </w:style>
  <w:style w:type="paragraph" w:styleId="berschrift2">
    <w:name w:val="heading 2"/>
    <w:basedOn w:val="Normal0"/>
    <w:next w:val="Normal0"/>
    <w:qFormat/>
    <w:pPr>
      <w:keepNext/>
      <w:numPr>
        <w:ilvl w:val="1"/>
        <w:numId w:val="32"/>
      </w:numPr>
      <w:jc w:val="left"/>
      <w:outlineLvl w:val="1"/>
    </w:pPr>
    <w:rPr>
      <w:b/>
    </w:rPr>
  </w:style>
  <w:style w:type="paragraph" w:styleId="berschrift3">
    <w:name w:val="heading 3"/>
    <w:basedOn w:val="Normal0"/>
    <w:next w:val="Normal0"/>
    <w:qFormat/>
    <w:pPr>
      <w:keepNext/>
      <w:numPr>
        <w:ilvl w:val="2"/>
        <w:numId w:val="32"/>
      </w:numPr>
      <w:jc w:val="left"/>
      <w:outlineLvl w:val="2"/>
    </w:pPr>
  </w:style>
  <w:style w:type="paragraph" w:styleId="berschrift4">
    <w:name w:val="heading 4"/>
    <w:basedOn w:val="Normal0"/>
    <w:next w:val="Normal0"/>
    <w:qFormat/>
    <w:pPr>
      <w:keepNext/>
      <w:numPr>
        <w:ilvl w:val="3"/>
        <w:numId w:val="32"/>
      </w:numPr>
      <w:jc w:val="left"/>
      <w:outlineLvl w:val="3"/>
    </w:pPr>
  </w:style>
  <w:style w:type="paragraph" w:styleId="berschrift5">
    <w:name w:val="heading 5"/>
    <w:basedOn w:val="Normal0"/>
    <w:next w:val="Normal0"/>
    <w:qFormat/>
    <w:pPr>
      <w:numPr>
        <w:ilvl w:val="4"/>
        <w:numId w:val="32"/>
      </w:numPr>
      <w:jc w:val="left"/>
      <w:outlineLvl w:val="4"/>
    </w:pPr>
  </w:style>
  <w:style w:type="paragraph" w:styleId="berschrift6">
    <w:name w:val="heading 6"/>
    <w:basedOn w:val="Normal0"/>
    <w:next w:val="Normal0"/>
    <w:qFormat/>
    <w:rsid w:val="007279E3"/>
    <w:pPr>
      <w:keepNext/>
      <w:keepLines/>
      <w:numPr>
        <w:ilvl w:val="5"/>
        <w:numId w:val="32"/>
      </w:numPr>
      <w:spacing w:before="360"/>
      <w:jc w:val="left"/>
      <w:outlineLvl w:val="5"/>
    </w:pPr>
    <w:rPr>
      <w:b/>
      <w:caps/>
    </w:rPr>
  </w:style>
  <w:style w:type="paragraph" w:styleId="berschrift7">
    <w:name w:val="heading 7"/>
    <w:basedOn w:val="Normal0"/>
    <w:next w:val="Normal0"/>
    <w:qFormat/>
    <w:rsid w:val="007279E3"/>
    <w:pPr>
      <w:keepNext/>
      <w:keepLines/>
      <w:numPr>
        <w:ilvl w:val="6"/>
        <w:numId w:val="32"/>
      </w:numPr>
      <w:jc w:val="left"/>
      <w:outlineLvl w:val="6"/>
    </w:pPr>
  </w:style>
  <w:style w:type="paragraph" w:styleId="berschrift8">
    <w:name w:val="heading 8"/>
    <w:basedOn w:val="Normal0"/>
    <w:next w:val="Normal0"/>
    <w:qFormat/>
    <w:rsid w:val="007279E3"/>
    <w:pPr>
      <w:keepNext/>
      <w:keepLines/>
      <w:numPr>
        <w:ilvl w:val="7"/>
        <w:numId w:val="32"/>
      </w:numPr>
      <w:jc w:val="left"/>
      <w:outlineLvl w:val="7"/>
    </w:pPr>
    <w:rPr>
      <w:bCs/>
    </w:rPr>
  </w:style>
  <w:style w:type="paragraph" w:styleId="berschrift9">
    <w:name w:val="heading 9"/>
    <w:basedOn w:val="Normal0"/>
    <w:next w:val="Normal0"/>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qFormat/>
  </w:style>
  <w:style w:type="paragraph" w:styleId="Kopfzeile">
    <w:name w:val="header"/>
    <w:basedOn w:val="Normal0"/>
    <w:pPr>
      <w:tabs>
        <w:tab w:val="clear" w:pos="0"/>
        <w:tab w:val="clear" w:pos="851"/>
        <w:tab w:val="clear" w:pos="1418"/>
        <w:tab w:val="clear" w:pos="1985"/>
        <w:tab w:val="clear" w:pos="2552"/>
        <w:tab w:val="clear" w:pos="3119"/>
        <w:tab w:val="right" w:pos="8080"/>
      </w:tabs>
      <w:spacing w:before="0" w:after="0" w:line="200" w:lineRule="atLeast"/>
    </w:pPr>
  </w:style>
  <w:style w:type="paragraph" w:styleId="Fuzeile">
    <w:name w:val="footer"/>
    <w:basedOn w:val="Normal0"/>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9F6FC6"/>
    <w:pPr>
      <w:spacing w:before="0" w:after="0" w:line="240" w:lineRule="auto"/>
    </w:pPr>
    <w:rPr>
      <w:rFonts w:ascii="Tahoma" w:hAnsi="Tahoma" w:cs="Tahoma"/>
      <w:sz w:val="16"/>
      <w:szCs w:val="16"/>
    </w:rPr>
  </w:style>
  <w:style w:type="paragraph" w:customStyle="1" w:styleId="Hngend0">
    <w:name w:val="Hängend 0"/>
    <w:basedOn w:val="Normal0"/>
    <w:qFormat/>
    <w:pPr>
      <w:ind w:left="851" w:hanging="851"/>
    </w:pPr>
  </w:style>
  <w:style w:type="paragraph" w:customStyle="1" w:styleId="Hngend1">
    <w:name w:val="Hängend 1"/>
    <w:basedOn w:val="Normal0"/>
    <w:qFormat/>
    <w:pPr>
      <w:ind w:left="1418" w:hanging="567"/>
    </w:pPr>
  </w:style>
  <w:style w:type="paragraph" w:customStyle="1" w:styleId="Hngend2">
    <w:name w:val="Hängend 2"/>
    <w:basedOn w:val="Normal1"/>
    <w:qFormat/>
    <w:pPr>
      <w:ind w:left="1985" w:hanging="567"/>
    </w:pPr>
  </w:style>
  <w:style w:type="paragraph" w:customStyle="1" w:styleId="Hngend3">
    <w:name w:val="Hängend 3"/>
    <w:basedOn w:val="Normal0"/>
    <w:pPr>
      <w:ind w:left="2552" w:hanging="567"/>
    </w:pPr>
  </w:style>
  <w:style w:type="paragraph" w:customStyle="1" w:styleId="Zitat1">
    <w:name w:val="Zitat 1"/>
    <w:basedOn w:val="Normal0"/>
    <w:next w:val="Normal0"/>
    <w:qFormat/>
    <w:pPr>
      <w:ind w:left="851" w:right="567"/>
    </w:pPr>
    <w:rPr>
      <w:i/>
    </w:rPr>
  </w:style>
  <w:style w:type="paragraph" w:customStyle="1" w:styleId="Zitat2">
    <w:name w:val="Zitat 2"/>
    <w:basedOn w:val="Normal0"/>
    <w:next w:val="Normal0"/>
    <w:qFormat/>
    <w:pPr>
      <w:ind w:left="1418" w:right="567"/>
    </w:pPr>
    <w:rPr>
      <w:i/>
    </w:rPr>
  </w:style>
  <w:style w:type="paragraph" w:customStyle="1" w:styleId="Zitat3">
    <w:name w:val="Zitat 3"/>
    <w:basedOn w:val="Normal0"/>
    <w:next w:val="Normal0"/>
    <w:pPr>
      <w:ind w:left="1985" w:right="567"/>
    </w:pPr>
    <w:rPr>
      <w:i/>
    </w:rPr>
  </w:style>
  <w:style w:type="paragraph" w:customStyle="1" w:styleId="Zitat4">
    <w:name w:val="Zitat 4"/>
    <w:basedOn w:val="Normal0"/>
    <w:next w:val="Normal0"/>
    <w:pPr>
      <w:ind w:left="2552" w:right="567"/>
    </w:pPr>
    <w:rPr>
      <w:i/>
    </w:rPr>
  </w:style>
  <w:style w:type="paragraph" w:styleId="Endnotentext">
    <w:name w:val="endnote text"/>
    <w:basedOn w:val="Normal0"/>
    <w:semiHidden/>
    <w:pPr>
      <w:tabs>
        <w:tab w:val="left" w:pos="425"/>
      </w:tabs>
      <w:spacing w:before="0" w:after="0" w:line="200" w:lineRule="atLeast"/>
      <w:ind w:left="425" w:hanging="425"/>
    </w:pPr>
    <w:rPr>
      <w:sz w:val="16"/>
    </w:rPr>
  </w:style>
  <w:style w:type="paragraph" w:customStyle="1" w:styleId="Zentriertfett">
    <w:name w:val="Zentriert fett"/>
    <w:basedOn w:val="Normal0"/>
    <w:next w:val="Normal0"/>
    <w:pPr>
      <w:tabs>
        <w:tab w:val="clear" w:pos="0"/>
      </w:tabs>
      <w:jc w:val="center"/>
    </w:pPr>
    <w:rPr>
      <w:b/>
    </w:rPr>
  </w:style>
  <w:style w:type="paragraph" w:customStyle="1" w:styleId="Zentriertnormal">
    <w:name w:val="Zentriert normal"/>
    <w:basedOn w:val="Normal0"/>
    <w:next w:val="Normal0"/>
    <w:pPr>
      <w:tabs>
        <w:tab w:val="clear" w:pos="0"/>
      </w:tabs>
      <w:jc w:val="center"/>
    </w:pPr>
  </w:style>
  <w:style w:type="paragraph" w:styleId="Verzeichnis6">
    <w:name w:val="toc 6"/>
    <w:basedOn w:val="Normal0"/>
    <w:next w:val="Normal0"/>
    <w:autoRedefine/>
    <w:semiHidden/>
    <w:pPr>
      <w:tabs>
        <w:tab w:val="clear" w:pos="1418"/>
        <w:tab w:val="clear" w:pos="1985"/>
        <w:tab w:val="clear" w:pos="2552"/>
        <w:tab w:val="clear" w:pos="3119"/>
        <w:tab w:val="right" w:leader="dot" w:pos="8080"/>
      </w:tabs>
      <w:ind w:left="851" w:right="284" w:hanging="851"/>
      <w:jc w:val="left"/>
    </w:pPr>
    <w:rPr>
      <w:b/>
      <w:caps/>
      <w:noProof/>
    </w:rPr>
  </w:style>
  <w:style w:type="paragraph" w:styleId="Verzeichnis7">
    <w:name w:val="toc 7"/>
    <w:basedOn w:val="Verzeichnis6"/>
    <w:next w:val="Normal0"/>
    <w:autoRedefine/>
    <w:semiHidden/>
    <w:pPr>
      <w:spacing w:before="0" w:after="0"/>
    </w:pPr>
    <w:rPr>
      <w:b w:val="0"/>
      <w:caps w:val="0"/>
      <w:smallCaps/>
    </w:rPr>
  </w:style>
  <w:style w:type="paragraph" w:styleId="Verzeichnis8">
    <w:name w:val="toc 8"/>
    <w:basedOn w:val="Verzeichnis7"/>
    <w:next w:val="Normal0"/>
    <w:autoRedefine/>
    <w:semiHidden/>
  </w:style>
  <w:style w:type="paragraph" w:styleId="Verzeichnis9">
    <w:name w:val="toc 9"/>
    <w:basedOn w:val="Normal0"/>
    <w:next w:val="Normal0"/>
    <w:autoRedefine/>
    <w:semiHidden/>
    <w:pPr>
      <w:ind w:left="1600"/>
    </w:pPr>
    <w:rPr>
      <w:color w:val="FF0000"/>
    </w:rPr>
  </w:style>
  <w:style w:type="paragraph" w:customStyle="1" w:styleId="Punktiert1">
    <w:name w:val="Punktiert 1"/>
    <w:basedOn w:val="Normal0"/>
    <w:qFormat/>
    <w:pPr>
      <w:numPr>
        <w:numId w:val="3"/>
      </w:numPr>
      <w:tabs>
        <w:tab w:val="left" w:pos="1418"/>
      </w:tabs>
    </w:pPr>
  </w:style>
  <w:style w:type="paragraph" w:customStyle="1" w:styleId="Punktiert0">
    <w:name w:val="Punktiert 0"/>
    <w:basedOn w:val="Normal0"/>
    <w:qFormat/>
    <w:pPr>
      <w:numPr>
        <w:numId w:val="2"/>
      </w:numPr>
      <w:tabs>
        <w:tab w:val="left" w:pos="851"/>
      </w:tabs>
      <w:ind w:hanging="567"/>
    </w:pPr>
  </w:style>
  <w:style w:type="paragraph" w:styleId="Verzeichnis1">
    <w:name w:val="toc 1"/>
    <w:basedOn w:val="Normal0"/>
    <w:next w:val="Normal0"/>
    <w:autoRedefine/>
    <w:semiHidden/>
    <w:pPr>
      <w:tabs>
        <w:tab w:val="clear" w:pos="1418"/>
        <w:tab w:val="clear" w:pos="1985"/>
        <w:tab w:val="clear" w:pos="2552"/>
        <w:tab w:val="clear" w:pos="3119"/>
        <w:tab w:val="right" w:leader="dot" w:pos="8080"/>
      </w:tabs>
      <w:ind w:left="851" w:right="284" w:hanging="851"/>
      <w:jc w:val="left"/>
    </w:pPr>
    <w:rPr>
      <w:b/>
      <w:caps/>
      <w:noProof/>
    </w:rPr>
  </w:style>
  <w:style w:type="paragraph" w:styleId="Verzeichnis2">
    <w:name w:val="toc 2"/>
    <w:basedOn w:val="Verzeichnis1"/>
    <w:next w:val="Normal0"/>
    <w:autoRedefine/>
    <w:semiHidden/>
    <w:rPr>
      <w:b w:val="0"/>
      <w:caps w:val="0"/>
    </w:rPr>
  </w:style>
  <w:style w:type="paragraph" w:styleId="Verzeichnis3">
    <w:name w:val="toc 3"/>
    <w:basedOn w:val="Verzeichnis2"/>
    <w:next w:val="Normal0"/>
    <w:autoRedefine/>
    <w:semiHidden/>
    <w:pPr>
      <w:spacing w:before="0" w:after="0"/>
    </w:pPr>
  </w:style>
  <w:style w:type="paragraph" w:styleId="Verzeichnis4">
    <w:name w:val="toc 4"/>
    <w:basedOn w:val="Verzeichnis3"/>
    <w:next w:val="Normal0"/>
    <w:autoRedefine/>
    <w:semiHidden/>
    <w:pPr>
      <w:tabs>
        <w:tab w:val="left" w:pos="1418"/>
      </w:tabs>
      <w:ind w:left="1418" w:hanging="567"/>
    </w:pPr>
  </w:style>
  <w:style w:type="paragraph" w:styleId="Verzeichnis5">
    <w:name w:val="toc 5"/>
    <w:basedOn w:val="Verzeichnis4"/>
    <w:next w:val="Normal0"/>
    <w:autoRedefine/>
    <w:semiHidden/>
    <w:pPr>
      <w:tabs>
        <w:tab w:val="left" w:pos="1985"/>
      </w:tabs>
      <w:ind w:left="1985"/>
    </w:pPr>
  </w:style>
  <w:style w:type="paragraph" w:styleId="Funotentext">
    <w:name w:val="footnote text"/>
    <w:basedOn w:val="Normal0"/>
    <w:semiHidden/>
    <w:pPr>
      <w:tabs>
        <w:tab w:val="left" w:pos="425"/>
      </w:tabs>
      <w:spacing w:before="0" w:after="0" w:line="200" w:lineRule="atLeast"/>
      <w:ind w:left="425" w:hanging="425"/>
    </w:pPr>
    <w:rPr>
      <w:sz w:val="16"/>
    </w:rPr>
  </w:style>
  <w:style w:type="character" w:styleId="Funotenzeichen">
    <w:name w:val="footnote reference"/>
    <w:basedOn w:val="Absatz-Standardschriftart"/>
    <w:semiHidden/>
    <w:rPr>
      <w:rFonts w:ascii="Verdana" w:hAnsi="Verdana"/>
      <w:position w:val="2"/>
      <w:sz w:val="18"/>
      <w:vertAlign w:val="superscript"/>
    </w:rPr>
  </w:style>
  <w:style w:type="paragraph" w:customStyle="1" w:styleId="Randziffern">
    <w:name w:val="Randziffern"/>
    <w:basedOn w:val="Normal0"/>
    <w:qFormat/>
    <w:pPr>
      <w:numPr>
        <w:numId w:val="6"/>
      </w:numPr>
      <w:tabs>
        <w:tab w:val="clear" w:pos="851"/>
      </w:tabs>
    </w:pPr>
  </w:style>
  <w:style w:type="paragraph" w:customStyle="1" w:styleId="Normal1">
    <w:name w:val="Normal 1"/>
    <w:basedOn w:val="Normal0"/>
    <w:qFormat/>
    <w:pPr>
      <w:ind w:left="851"/>
    </w:pPr>
  </w:style>
  <w:style w:type="paragraph" w:customStyle="1" w:styleId="Normal2">
    <w:name w:val="Normal 2"/>
    <w:basedOn w:val="Normal0"/>
    <w:qFormat/>
    <w:pPr>
      <w:ind w:left="1418"/>
    </w:pPr>
  </w:style>
  <w:style w:type="paragraph" w:customStyle="1" w:styleId="Normal3">
    <w:name w:val="Normal 3"/>
    <w:basedOn w:val="Normal0"/>
    <w:pPr>
      <w:ind w:left="1985"/>
    </w:pPr>
  </w:style>
  <w:style w:type="character" w:styleId="Hyperlink">
    <w:name w:val="Hyperlink"/>
    <w:basedOn w:val="Absatz-Standardschriftart"/>
    <w:rPr>
      <w:rFonts w:ascii="Verdana" w:hAnsi="Verdana"/>
      <w:color w:val="auto"/>
      <w:sz w:val="16"/>
      <w:u w:val="none"/>
    </w:rPr>
  </w:style>
  <w:style w:type="paragraph" w:customStyle="1" w:styleId="Punktiert2">
    <w:name w:val="Punktiert 2"/>
    <w:basedOn w:val="Normal0"/>
    <w:qFormat/>
    <w:pPr>
      <w:numPr>
        <w:numId w:val="4"/>
      </w:numPr>
      <w:tabs>
        <w:tab w:val="left" w:pos="1985"/>
      </w:tabs>
    </w:pPr>
  </w:style>
  <w:style w:type="paragraph" w:customStyle="1" w:styleId="Punktiert3">
    <w:name w:val="Punktiert 3"/>
    <w:basedOn w:val="Normal0"/>
    <w:pPr>
      <w:numPr>
        <w:numId w:val="5"/>
      </w:numPr>
      <w:tabs>
        <w:tab w:val="left" w:pos="2552"/>
      </w:tabs>
    </w:pPr>
  </w:style>
  <w:style w:type="paragraph" w:customStyle="1" w:styleId="Adresse">
    <w:name w:val="Adresse"/>
    <w:basedOn w:val="Normal0"/>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pPr>
      <w:tabs>
        <w:tab w:val="clear" w:pos="0"/>
      </w:tabs>
      <w:spacing w:before="280"/>
      <w:jc w:val="left"/>
    </w:pPr>
    <w:rPr>
      <w:b/>
    </w:rPr>
  </w:style>
  <w:style w:type="paragraph" w:customStyle="1" w:styleId="DokInfo">
    <w:name w:val="DokInfo"/>
    <w:basedOn w:val="Normal0"/>
    <w:next w:val="Normal0"/>
    <w:pPr>
      <w:tabs>
        <w:tab w:val="clear" w:pos="0"/>
      </w:tabs>
      <w:spacing w:after="0" w:line="160" w:lineRule="atLeast"/>
      <w:jc w:val="left"/>
    </w:pPr>
    <w:rPr>
      <w:noProof/>
      <w:sz w:val="14"/>
    </w:rPr>
  </w:style>
  <w:style w:type="character" w:styleId="Endnotenzeichen">
    <w:name w:val="endnote reference"/>
    <w:basedOn w:val="Absatz-Standardschriftart"/>
    <w:semiHidden/>
    <w:rPr>
      <w:rFonts w:ascii="Verdana" w:hAnsi="Verdana"/>
      <w:sz w:val="18"/>
      <w:vertAlign w:val="superscript"/>
    </w:rPr>
  </w:style>
  <w:style w:type="paragraph" w:customStyle="1" w:styleId="Endvermerk">
    <w:name w:val="Endvermerk"/>
    <w:basedOn w:val="Normal0"/>
    <w:pPr>
      <w:tabs>
        <w:tab w:val="left" w:pos="425"/>
      </w:tabs>
      <w:spacing w:before="0" w:after="0" w:line="200" w:lineRule="atLeast"/>
      <w:ind w:left="425" w:hanging="425"/>
    </w:pPr>
    <w:rPr>
      <w:sz w:val="16"/>
    </w:rPr>
  </w:style>
  <w:style w:type="paragraph" w:customStyle="1" w:styleId="Rechtsfett">
    <w:name w:val="Rechts fett"/>
    <w:basedOn w:val="Normal0"/>
    <w:next w:val="Randziffern"/>
    <w:pPr>
      <w:ind w:left="5103"/>
      <w:jc w:val="right"/>
    </w:pPr>
    <w:rPr>
      <w:b/>
    </w:rPr>
  </w:style>
  <w:style w:type="paragraph" w:customStyle="1" w:styleId="Postvermerk">
    <w:name w:val="Postvermerk"/>
    <w:basedOn w:val="Normal0"/>
    <w:next w:val="Adresse"/>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pPr>
      <w:tabs>
        <w:tab w:val="clear" w:pos="0"/>
      </w:tabs>
      <w:spacing w:after="80"/>
      <w:jc w:val="left"/>
    </w:pPr>
    <w:rPr>
      <w:noProof/>
    </w:rPr>
  </w:style>
  <w:style w:type="paragraph" w:styleId="Umschlagabsenderadresse">
    <w:name w:val="envelope return"/>
    <w:basedOn w:val="Normal0"/>
    <w:pPr>
      <w:tabs>
        <w:tab w:val="clear" w:pos="0"/>
      </w:tabs>
      <w:spacing w:after="0" w:line="240" w:lineRule="atLeast"/>
      <w:jc w:val="left"/>
    </w:pPr>
    <w:rPr>
      <w:rFonts w:cs="Arial"/>
    </w:rPr>
  </w:style>
  <w:style w:type="paragraph" w:styleId="Umschlagadresse">
    <w:name w:val="envelope address"/>
    <w:basedOn w:val="Normal0"/>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Rechtsunterstrichen">
    <w:name w:val="Rechts unterstrichen"/>
    <w:basedOn w:val="Standard"/>
    <w:next w:val="Randziffern"/>
    <w:pPr>
      <w:ind w:left="5103"/>
      <w:jc w:val="right"/>
    </w:pPr>
    <w:rPr>
      <w:u w:val="single"/>
    </w:rPr>
  </w:style>
  <w:style w:type="paragraph" w:customStyle="1" w:styleId="Beweis0">
    <w:name w:val="Beweis 0"/>
    <w:basedOn w:val="Normal0"/>
    <w:next w:val="Rechtsfett"/>
    <w:pPr>
      <w:keepNext/>
      <w:tabs>
        <w:tab w:val="clear" w:pos="851"/>
        <w:tab w:val="left" w:pos="1134"/>
      </w:tabs>
      <w:ind w:left="1134" w:hanging="1134"/>
      <w:jc w:val="left"/>
    </w:pPr>
  </w:style>
  <w:style w:type="paragraph" w:customStyle="1" w:styleId="Beweis1">
    <w:name w:val="Beweis 1"/>
    <w:basedOn w:val="Normal0"/>
    <w:next w:val="Rechtsfett"/>
    <w:qFormat/>
    <w:pPr>
      <w:keepNext/>
      <w:tabs>
        <w:tab w:val="clear" w:pos="1418"/>
      </w:tabs>
      <w:ind w:left="1985" w:hanging="1134"/>
      <w:jc w:val="left"/>
    </w:pPr>
  </w:style>
  <w:style w:type="paragraph" w:customStyle="1" w:styleId="Buchstabiert1">
    <w:name w:val="Buchstabiert 1"/>
    <w:basedOn w:val="berschrift8"/>
    <w:qFormat/>
    <w:pPr>
      <w:numPr>
        <w:ilvl w:val="8"/>
      </w:numPr>
      <w:jc w:val="both"/>
      <w:outlineLvl w:val="8"/>
    </w:pPr>
  </w:style>
  <w:style w:type="character" w:customStyle="1" w:styleId="SprechblasentextZchn">
    <w:name w:val="Sprechblasentext Zchn"/>
    <w:basedOn w:val="Absatz-Standardschriftart"/>
    <w:link w:val="Sprechblasentext"/>
    <w:rsid w:val="009F6FC6"/>
    <w:rPr>
      <w:rFonts w:ascii="Tahoma" w:hAnsi="Tahoma" w:cs="Tahoma"/>
      <w:sz w:val="16"/>
      <w:szCs w:val="16"/>
      <w:lang w:eastAsia="de-DE"/>
    </w:rPr>
  </w:style>
  <w:style w:type="character" w:styleId="NichtaufgelsteErwhnung">
    <w:name w:val="Unresolved Mention"/>
    <w:basedOn w:val="Absatz-Standardschriftart"/>
    <w:uiPriority w:val="99"/>
    <w:semiHidden/>
    <w:unhideWhenUsed/>
    <w:rsid w:val="000F41D7"/>
    <w:rPr>
      <w:color w:val="605E5C"/>
      <w:shd w:val="clear" w:color="auto" w:fill="E1DFDD"/>
    </w:rPr>
  </w:style>
  <w:style w:type="character" w:customStyle="1" w:styleId="berschrift1Zchn">
    <w:name w:val="Überschrift 1 Zchn"/>
    <w:basedOn w:val="Absatz-Standardschriftart"/>
    <w:link w:val="berschrift1"/>
    <w:rsid w:val="004C31D4"/>
    <w:rPr>
      <w:rFonts w:ascii="Verdana" w:hAnsi="Verdana"/>
      <w:b/>
      <w:caps/>
      <w:kern w:val="28"/>
      <w:lang w:eastAsia="de-DE"/>
    </w:rPr>
  </w:style>
  <w:style w:type="paragraph" w:styleId="berarbeitung">
    <w:name w:val="Revision"/>
    <w:hidden/>
    <w:uiPriority w:val="99"/>
    <w:semiHidden/>
    <w:rsid w:val="006B4D60"/>
    <w:rPr>
      <w:rFonts w:ascii="Verdana" w:hAnsi="Verdan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4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5420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Transfer Impact Assessment for the US</vt:lpstr>
      <vt:lpstr>Transfer Impact Assessment for the US</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Impact Assessment for the US</dc:title>
  <dc:subject/>
  <dc:creator/>
  <cp:keywords/>
  <dc:description>Updates: www.rosenthal.ch</dc:description>
  <cp:lastModifiedBy>VISCHER</cp:lastModifiedBy>
  <cp:revision>2</cp:revision>
  <dcterms:created xsi:type="dcterms:W3CDTF">2024-08-15T09:03:00Z</dcterms:created>
  <dcterms:modified xsi:type="dcterms:W3CDTF">2024-08-15T19:31:00Z</dcterms:modified>
</cp:coreProperties>
</file>